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343D0A" w:rsidP="00794F4A">
      <w:pPr>
        <w:ind w:left="3600"/>
      </w:pPr>
      <w:r>
        <w:t>&lt;&lt; Organisation</w:t>
      </w:r>
      <w:r w:rsidR="00794F4A">
        <w:t xml:space="preserve"> Logo&gt;&gt;</w:t>
      </w:r>
    </w:p>
    <w:p w:rsidR="00794F4A" w:rsidRDefault="00794F4A" w:rsidP="00794F4A">
      <w:pPr>
        <w:ind w:left="3600"/>
      </w:pPr>
    </w:p>
    <w:p w:rsidR="00794F4A" w:rsidRDefault="00034DF3" w:rsidP="00034DF3">
      <w:r>
        <w:t xml:space="preserve">                                                     </w:t>
      </w:r>
      <w:r w:rsidR="00794F4A">
        <w:t xml:space="preserve">&lt;&lt; </w:t>
      </w:r>
      <w:r w:rsidR="008046F0">
        <w:t>Information System Risk Management</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Default="00024927" w:rsidP="00024927"/>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1E3F37">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1E3F37">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1E3F37">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676E45" w:rsidRDefault="00676E45" w:rsidP="00024927">
      <w:pPr>
        <w:tabs>
          <w:tab w:val="left" w:pos="6285"/>
        </w:tabs>
      </w:pPr>
    </w:p>
    <w:p w:rsidR="00676E45" w:rsidRDefault="00676E45" w:rsidP="00024927">
      <w:pPr>
        <w:tabs>
          <w:tab w:val="left" w:pos="6285"/>
        </w:tabs>
      </w:pPr>
    </w:p>
    <w:p w:rsidR="00676E45" w:rsidRDefault="00676E45"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676E45" w:rsidRDefault="00676E45" w:rsidP="00676E45">
      <w:pPr>
        <w:jc w:val="both"/>
        <w:rPr>
          <w:rFonts w:ascii="Calibri" w:hAnsi="Calibri"/>
          <w:lang w:val="en-US"/>
        </w:rPr>
      </w:pPr>
      <w:r w:rsidRPr="00035AB7">
        <w:rPr>
          <w:rFonts w:ascii="Calibri" w:hAnsi="Calibri"/>
          <w:lang w:val="en-US"/>
        </w:rPr>
        <w:t xml:space="preserve">Every </w:t>
      </w:r>
      <w:r w:rsidR="001C4716">
        <w:rPr>
          <w:rFonts w:ascii="Calibri" w:hAnsi="Calibri"/>
          <w:lang w:val="en-US"/>
        </w:rPr>
        <w:t xml:space="preserve">[organization] </w:t>
      </w:r>
      <w:r w:rsidRPr="00035AB7">
        <w:rPr>
          <w:rFonts w:ascii="Calibri" w:hAnsi="Calibri"/>
          <w:lang w:val="en-US"/>
        </w:rPr>
        <w:t xml:space="preserve">has a mission. In this digital era, as </w:t>
      </w:r>
      <w:r w:rsidR="001C4716">
        <w:rPr>
          <w:rFonts w:ascii="Calibri" w:hAnsi="Calibri"/>
          <w:lang w:val="en-US"/>
        </w:rPr>
        <w:t>[</w:t>
      </w:r>
      <w:r w:rsidRPr="00035AB7">
        <w:rPr>
          <w:rFonts w:ascii="Calibri" w:hAnsi="Calibri"/>
          <w:lang w:val="en-US"/>
        </w:rPr>
        <w:t>organizations</w:t>
      </w:r>
      <w:r w:rsidR="001C4716">
        <w:rPr>
          <w:rFonts w:ascii="Calibri" w:hAnsi="Calibri"/>
          <w:lang w:val="en-US"/>
        </w:rPr>
        <w:t>]</w:t>
      </w:r>
      <w:r w:rsidRPr="00035AB7">
        <w:rPr>
          <w:rFonts w:ascii="Calibri" w:hAnsi="Calibri"/>
          <w:lang w:val="en-US"/>
        </w:rPr>
        <w:t xml:space="preserve"> use automated info</w:t>
      </w:r>
      <w:r>
        <w:rPr>
          <w:rFonts w:ascii="Calibri" w:hAnsi="Calibri"/>
          <w:lang w:val="en-US"/>
        </w:rPr>
        <w:t>rmation technology (IT) systems</w:t>
      </w:r>
      <w:r w:rsidRPr="00035AB7">
        <w:rPr>
          <w:rFonts w:ascii="Calibri" w:hAnsi="Calibri"/>
          <w:lang w:val="en-US"/>
        </w:rPr>
        <w:t xml:space="preserve"> to process their information for better support of their missions, risk management plays a critical role in protecting an </w:t>
      </w:r>
      <w:r w:rsidR="001C4716">
        <w:rPr>
          <w:rFonts w:ascii="Calibri" w:hAnsi="Calibri"/>
          <w:lang w:val="en-US"/>
        </w:rPr>
        <w:t>[</w:t>
      </w:r>
      <w:r w:rsidRPr="00035AB7">
        <w:rPr>
          <w:rFonts w:ascii="Calibri" w:hAnsi="Calibri"/>
          <w:lang w:val="en-US"/>
        </w:rPr>
        <w:t>organization</w:t>
      </w:r>
      <w:r w:rsidR="001C4716">
        <w:rPr>
          <w:rFonts w:ascii="Calibri" w:hAnsi="Calibri"/>
          <w:lang w:val="en-US"/>
        </w:rPr>
        <w:t>]</w:t>
      </w:r>
      <w:r w:rsidRPr="00035AB7">
        <w:rPr>
          <w:rFonts w:ascii="Calibri" w:hAnsi="Calibri"/>
          <w:lang w:val="en-US"/>
        </w:rPr>
        <w:t>’s information assets, and therefore its mission, from IT-related risk.</w:t>
      </w:r>
    </w:p>
    <w:p w:rsidR="00676E45" w:rsidRDefault="00676E45" w:rsidP="00676E45">
      <w:pPr>
        <w:jc w:val="both"/>
        <w:rPr>
          <w:rFonts w:ascii="Calibri" w:hAnsi="Calibri"/>
          <w:lang w:val="en-US"/>
        </w:rPr>
      </w:pPr>
      <w:r w:rsidRPr="00841E00">
        <w:rPr>
          <w:rFonts w:ascii="Calibri" w:hAnsi="Calibri"/>
          <w:lang w:val="en-US"/>
        </w:rPr>
        <w:t xml:space="preserve">Risk management relates to the culture, processes and structures directed towards the effective management of potential </w:t>
      </w:r>
      <w:r>
        <w:rPr>
          <w:rFonts w:ascii="Calibri" w:hAnsi="Calibri"/>
          <w:lang w:val="en-US"/>
        </w:rPr>
        <w:t>risks</w:t>
      </w:r>
      <w:r w:rsidRPr="00841E00">
        <w:rPr>
          <w:rFonts w:ascii="Calibri" w:hAnsi="Calibri"/>
          <w:lang w:val="en-US"/>
        </w:rPr>
        <w:t xml:space="preserve"> and adverse effects within </w:t>
      </w:r>
      <w:r w:rsidR="001C4716">
        <w:rPr>
          <w:rFonts w:ascii="Calibri" w:hAnsi="Calibri"/>
          <w:lang w:val="en-US"/>
        </w:rPr>
        <w:t xml:space="preserve">[organization] </w:t>
      </w:r>
      <w:r w:rsidRPr="00841E00">
        <w:rPr>
          <w:rFonts w:ascii="Calibri" w:hAnsi="Calibri"/>
          <w:lang w:val="en-US"/>
        </w:rPr>
        <w:t xml:space="preserve">environment. The purpose of this policy is to explain the </w:t>
      </w:r>
      <w:r w:rsidR="00655479">
        <w:rPr>
          <w:rFonts w:ascii="Calibri" w:hAnsi="Calibri"/>
          <w:lang w:val="en-US"/>
        </w:rPr>
        <w:t>[organization]</w:t>
      </w:r>
      <w:r w:rsidRPr="00841E00">
        <w:rPr>
          <w:rFonts w:ascii="Calibri" w:hAnsi="Calibri"/>
          <w:lang w:val="en-US"/>
        </w:rPr>
        <w:t xml:space="preserve">'s underlying approach to risk and risk management. </w:t>
      </w:r>
    </w:p>
    <w:p w:rsidR="000D41E3" w:rsidRDefault="000D41E3" w:rsidP="000D41E3"/>
    <w:p w:rsidR="000D41E3" w:rsidRDefault="000D41E3" w:rsidP="000D41E3">
      <w:pPr>
        <w:pStyle w:val="Heading2"/>
      </w:pPr>
      <w:bookmarkStart w:id="7" w:name="_Toc475926582"/>
      <w:r>
        <w:t>SCOPE</w:t>
      </w:r>
      <w:bookmarkEnd w:id="7"/>
    </w:p>
    <w:p w:rsidR="000D41E3" w:rsidRDefault="000D41E3" w:rsidP="000D41E3"/>
    <w:p w:rsidR="00036CDC" w:rsidRDefault="00676E45" w:rsidP="00676E45">
      <w:pPr>
        <w:pStyle w:val="Heading2"/>
        <w:rPr>
          <w:rFonts w:asciiTheme="minorHAnsi" w:eastAsiaTheme="minorHAnsi" w:hAnsiTheme="minorHAnsi" w:cstheme="minorBidi"/>
          <w:color w:val="auto"/>
          <w:sz w:val="22"/>
          <w:szCs w:val="22"/>
        </w:rPr>
      </w:pPr>
      <w:r w:rsidRPr="00676E45">
        <w:rPr>
          <w:rFonts w:asciiTheme="minorHAnsi" w:eastAsiaTheme="minorHAnsi" w:hAnsiTheme="minorHAnsi" w:cstheme="minorBidi"/>
          <w:color w:val="auto"/>
          <w:sz w:val="22"/>
          <w:szCs w:val="22"/>
        </w:rPr>
        <w:t xml:space="preserve">This policy applies to </w:t>
      </w:r>
      <w:r w:rsidR="00655479">
        <w:rPr>
          <w:rFonts w:asciiTheme="minorHAnsi" w:eastAsiaTheme="minorHAnsi" w:hAnsiTheme="minorHAnsi" w:cstheme="minorBidi"/>
          <w:color w:val="auto"/>
          <w:sz w:val="22"/>
          <w:szCs w:val="22"/>
        </w:rPr>
        <w:t xml:space="preserve">[organisation] </w:t>
      </w:r>
      <w:r w:rsidRPr="00676E45">
        <w:rPr>
          <w:rFonts w:asciiTheme="minorHAnsi" w:eastAsiaTheme="minorHAnsi" w:hAnsiTheme="minorHAnsi" w:cstheme="minorBidi"/>
          <w:color w:val="auto"/>
          <w:sz w:val="22"/>
          <w:szCs w:val="22"/>
        </w:rPr>
        <w:t>critical services, critical business locations, infrastructure; all employees, including temporary staff, contractors, service providers, consultants and third parties.</w:t>
      </w:r>
    </w:p>
    <w:p w:rsidR="00676E45" w:rsidRDefault="00676E45" w:rsidP="00676E45"/>
    <w:p w:rsidR="00676E45" w:rsidRPr="007E2843" w:rsidRDefault="00676E45" w:rsidP="00676E45">
      <w:pPr>
        <w:pStyle w:val="Heading2"/>
      </w:pPr>
      <w:bookmarkStart w:id="8" w:name="_Toc146859619"/>
      <w:bookmarkStart w:id="9" w:name="_Toc303756163"/>
      <w:bookmarkStart w:id="10" w:name="_Toc303756199"/>
      <w:bookmarkStart w:id="11" w:name="_Toc303777749"/>
      <w:r w:rsidRPr="007E2843">
        <w:t>DEFINITIONS</w:t>
      </w:r>
      <w:bookmarkEnd w:id="8"/>
      <w:bookmarkEnd w:id="9"/>
      <w:bookmarkEnd w:id="10"/>
      <w:bookmarkEnd w:id="11"/>
      <w:r w:rsidRPr="007E2843">
        <w:tab/>
      </w:r>
    </w:p>
    <w:p w:rsidR="00676E45" w:rsidRDefault="00676E45" w:rsidP="00676E45">
      <w:pPr>
        <w:rPr>
          <w:rFonts w:ascii="Calibri" w:hAnsi="Calibri" w:cs="Calibri"/>
          <w:b/>
          <w:color w:val="99CC00"/>
        </w:rPr>
      </w:pP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t>Risk:</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 xml:space="preserve">The threat or possibility that an action or event will adversely or beneficially affect </w:t>
      </w:r>
      <w:r w:rsidR="00655479">
        <w:rPr>
          <w:rFonts w:ascii="Calibri" w:hAnsi="Calibri" w:cs="Helvetica"/>
          <w:color w:val="000000"/>
          <w:lang w:val="en-US"/>
        </w:rPr>
        <w:t>[</w:t>
      </w:r>
      <w:r w:rsidR="00982C52">
        <w:rPr>
          <w:rFonts w:ascii="Calibri" w:hAnsi="Calibri" w:cs="Helvetica"/>
          <w:color w:val="000000"/>
          <w:lang w:val="en-US"/>
        </w:rPr>
        <w:t>organization</w:t>
      </w:r>
      <w:r w:rsidR="00655479">
        <w:rPr>
          <w:rFonts w:ascii="Calibri" w:hAnsi="Calibri" w:cs="Helvetica"/>
          <w:color w:val="000000"/>
          <w:lang w:val="en-US"/>
        </w:rPr>
        <w:t>]</w:t>
      </w:r>
      <w:r w:rsidRPr="009E4658">
        <w:rPr>
          <w:rFonts w:ascii="Calibri" w:hAnsi="Calibri" w:cs="Helvetica"/>
          <w:color w:val="000000"/>
          <w:lang w:val="en-US"/>
        </w:rPr>
        <w:t xml:space="preserve"> ability to achieve its goals. Risk is measured in terms of likelihood and impact.</w:t>
      </w: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t>Risk Assessment:</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The overall process of risk identification and evaluation.</w:t>
      </w: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t>Risk Management:</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The culture, processes and structures that are directed towards the effective management of potential risks and possible adverse effects within an environment.</w:t>
      </w: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t>Internal Controls:</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 xml:space="preserve">Systematic measures such as policies, procedures, processes, reviews, checks and balances instituted by an organization to conduct its business in an efficient manner, safeguard its assets and resources, and deter and detect errors, fraud and theft. </w:t>
      </w: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t>Risk Management Process:</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The systematic application of policies, procedures and practices to the tasks of establishing the context of, identifying, analyzing, evaluating, communicating, treating and monitoring risk.</w:t>
      </w:r>
    </w:p>
    <w:p w:rsidR="00676E45" w:rsidRPr="009E4658" w:rsidRDefault="00676E45" w:rsidP="00676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Helvetica"/>
          <w:color w:val="000000"/>
          <w:lang w:val="en-US"/>
        </w:rPr>
      </w:pPr>
      <w:r w:rsidRPr="00676E45">
        <w:rPr>
          <w:rFonts w:ascii="Calibri" w:hAnsi="Calibri" w:cs="Helvetica"/>
          <w:b/>
          <w:color w:val="9CC2E5" w:themeColor="accent1" w:themeTint="99"/>
          <w:lang w:val="en-US"/>
        </w:rPr>
        <w:lastRenderedPageBreak/>
        <w:t>Risk Mitigation:</w:t>
      </w:r>
      <w:r w:rsidRPr="00676E45">
        <w:rPr>
          <w:rFonts w:ascii="Calibri" w:hAnsi="Calibri" w:cs="Helvetica"/>
          <w:color w:val="9CC2E5" w:themeColor="accent1" w:themeTint="99"/>
          <w:lang w:val="en-US"/>
        </w:rPr>
        <w:t xml:space="preserve"> </w:t>
      </w:r>
      <w:r w:rsidRPr="009E4658">
        <w:rPr>
          <w:rFonts w:ascii="Calibri" w:hAnsi="Calibri" w:cs="Helvetica"/>
          <w:color w:val="000000"/>
          <w:lang w:val="en-US"/>
        </w:rPr>
        <w:t>A risk mitigation action refers to actions that must be taken to lower the likelihood of the risk occurring and/or to minimize the impact if the risk did occur. Risk can never be totally eliminated, but it can be mitigated to lessen its likelihood and or impact</w:t>
      </w:r>
    </w:p>
    <w:p w:rsidR="00676E45" w:rsidRDefault="00676E45" w:rsidP="00676E45"/>
    <w:p w:rsidR="00036CDC" w:rsidRDefault="00AF3508" w:rsidP="00AF3508">
      <w:pPr>
        <w:pStyle w:val="Heading1"/>
        <w:rPr>
          <w:b/>
          <w:sz w:val="36"/>
          <w:szCs w:val="36"/>
        </w:rPr>
      </w:pPr>
      <w:bookmarkStart w:id="12" w:name="_Toc475926583"/>
      <w:r w:rsidRPr="00AF3508">
        <w:rPr>
          <w:b/>
          <w:sz w:val="36"/>
          <w:szCs w:val="36"/>
        </w:rPr>
        <w:t>POLICY</w:t>
      </w:r>
      <w:bookmarkEnd w:id="12"/>
      <w:r w:rsidRPr="00AF3508">
        <w:rPr>
          <w:b/>
          <w:sz w:val="36"/>
          <w:szCs w:val="36"/>
        </w:rPr>
        <w:t xml:space="preserve"> </w:t>
      </w:r>
    </w:p>
    <w:p w:rsidR="00FE3B15" w:rsidRDefault="001A1112" w:rsidP="00FE3B15">
      <w:r>
        <w:t xml:space="preserve">Below are </w:t>
      </w:r>
      <w:r w:rsidR="006D45D2">
        <w:t>statements</w:t>
      </w:r>
      <w:r w:rsidR="00982C52">
        <w:t xml:space="preserve"> that </w:t>
      </w:r>
      <w:r w:rsidR="006D45D2">
        <w:t>should be complied with</w:t>
      </w:r>
      <w:r>
        <w:t xml:space="preserve">.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982C52" w:rsidP="00982C52">
            <w:pPr>
              <w:rPr>
                <w:color w:val="1F4E79" w:themeColor="accent1" w:themeShade="80"/>
              </w:rPr>
            </w:pPr>
            <w:r>
              <w:rPr>
                <w:color w:val="000000" w:themeColor="text1"/>
              </w:rPr>
              <w:t xml:space="preserve">[Organisation] </w:t>
            </w:r>
            <w:r w:rsidR="006D45D2" w:rsidRPr="006D45D2">
              <w:rPr>
                <w:color w:val="000000" w:themeColor="text1"/>
              </w:rPr>
              <w:t xml:space="preserve">shall identify and adopt a risk assessment methodology that is suited to </w:t>
            </w:r>
            <w:r>
              <w:rPr>
                <w:color w:val="000000" w:themeColor="text1"/>
              </w:rPr>
              <w:t xml:space="preserve">its </w:t>
            </w:r>
            <w:r w:rsidR="006D45D2" w:rsidRPr="006D45D2">
              <w:rPr>
                <w:color w:val="000000" w:themeColor="text1"/>
              </w:rPr>
              <w:t>business, legal and regulatory requirements.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6D45D2" w:rsidP="00982C52">
            <w:pPr>
              <w:rPr>
                <w:color w:val="000000" w:themeColor="text1"/>
              </w:rPr>
            </w:pPr>
            <w:r w:rsidRPr="006D45D2">
              <w:rPr>
                <w:color w:val="000000" w:themeColor="text1"/>
              </w:rPr>
              <w:t xml:space="preserve">Formal risk assessments of </w:t>
            </w:r>
            <w:r w:rsidR="00982C52">
              <w:rPr>
                <w:color w:val="000000" w:themeColor="text1"/>
              </w:rPr>
              <w:t>[organisation]</w:t>
            </w:r>
            <w:r w:rsidRPr="006D45D2">
              <w:rPr>
                <w:color w:val="000000" w:themeColor="text1"/>
              </w:rPr>
              <w:t xml:space="preserve"> IT environment shall be conducted annually. Adequate mitigating controls to reduce or eliminate these risks shall be implemented.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6D45D2" w:rsidRDefault="006D45D2" w:rsidP="006D45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rPr>
            </w:pPr>
            <w:r w:rsidRPr="009E4658">
              <w:rPr>
                <w:rFonts w:ascii="Calibri" w:hAnsi="Calibri" w:cs="Calibri"/>
              </w:rPr>
              <w:t xml:space="preserve">Procedures and processes shall be put in place to monitor the effectiveness of the implemented security controls.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F50E17" w:rsidP="00FE3B15">
            <w:pPr>
              <w:rPr>
                <w:color w:val="000000" w:themeColor="text1"/>
              </w:rPr>
            </w:pPr>
            <w:r>
              <w:rPr>
                <w:color w:val="000000" w:themeColor="text1"/>
              </w:rPr>
              <w:t>[O</w:t>
            </w:r>
            <w:r w:rsidR="00982C52">
              <w:rPr>
                <w:color w:val="000000" w:themeColor="text1"/>
              </w:rPr>
              <w:t>rganisation]</w:t>
            </w:r>
            <w:r w:rsidR="006D45D2" w:rsidRPr="006D45D2">
              <w:rPr>
                <w:color w:val="000000" w:themeColor="text1"/>
              </w:rPr>
              <w:t xml:space="preserve"> shall develop criteria for accepting risks and identifying the acceptable levels of risk.</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6D45D2" w:rsidP="00FE3B15">
            <w:pPr>
              <w:rPr>
                <w:color w:val="1F4E79" w:themeColor="accent1" w:themeShade="80"/>
              </w:rPr>
            </w:pPr>
            <w:r w:rsidRPr="006D45D2">
              <w:rPr>
                <w:color w:val="000000" w:themeColor="text1"/>
              </w:rPr>
              <w:t>The risk assessment methodology selected must ensure that risk assessments produce comparable and reproducible results.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Default="006D45D2" w:rsidP="00720EE8">
            <w:pPr>
              <w:pStyle w:val="BodyText"/>
              <w:rPr>
                <w:rFonts w:asciiTheme="minorHAnsi" w:hAnsiTheme="minorHAnsi"/>
                <w:sz w:val="22"/>
                <w:szCs w:val="22"/>
              </w:rPr>
            </w:pPr>
            <w:r w:rsidRPr="006D45D2">
              <w:rPr>
                <w:rFonts w:asciiTheme="minorHAnsi" w:hAnsiTheme="minorHAnsi"/>
                <w:sz w:val="22"/>
                <w:szCs w:val="22"/>
              </w:rPr>
              <w:t>Network resources should be assigned one of the following three risk levels and the appropriate level of security based on this classification should be applied.</w:t>
            </w:r>
          </w:p>
          <w:p w:rsidR="006D45D2" w:rsidRPr="009E4658" w:rsidRDefault="006D45D2" w:rsidP="006D45D2">
            <w:pPr>
              <w:pStyle w:val="ListParagraph"/>
              <w:numPr>
                <w:ilvl w:val="0"/>
                <w:numId w:val="3"/>
              </w:numPr>
              <w:ind w:right="-60"/>
              <w:jc w:val="both"/>
              <w:rPr>
                <w:rFonts w:ascii="Calibri" w:hAnsi="Calibri"/>
                <w:sz w:val="22"/>
                <w:szCs w:val="22"/>
              </w:rPr>
            </w:pPr>
            <w:r w:rsidRPr="009E4658">
              <w:rPr>
                <w:rFonts w:ascii="Calibri" w:hAnsi="Calibri"/>
                <w:b/>
                <w:sz w:val="22"/>
                <w:szCs w:val="22"/>
              </w:rPr>
              <w:t>Low Risk</w:t>
            </w:r>
            <w:r w:rsidRPr="009E4658">
              <w:rPr>
                <w:rFonts w:ascii="Calibri" w:hAnsi="Calibri"/>
                <w:sz w:val="22"/>
                <w:szCs w:val="22"/>
              </w:rPr>
              <w:t xml:space="preserve"> Systems or Data that if compromised (data viewed by unauthorized personnel, data corrupted, or data lost) would not disrupt the business or cause legal or financial ramifications. The targeted system or data can be easily restored and does not permit further access of other systems.</w:t>
            </w:r>
          </w:p>
          <w:p w:rsidR="006D45D2" w:rsidRPr="009E4658" w:rsidRDefault="006D45D2" w:rsidP="006D45D2">
            <w:pPr>
              <w:pStyle w:val="ListParagraph"/>
              <w:numPr>
                <w:ilvl w:val="0"/>
                <w:numId w:val="3"/>
              </w:numPr>
              <w:ind w:right="-60"/>
              <w:jc w:val="both"/>
              <w:rPr>
                <w:rFonts w:ascii="Calibri" w:hAnsi="Calibri"/>
                <w:sz w:val="22"/>
                <w:szCs w:val="22"/>
              </w:rPr>
            </w:pPr>
            <w:r w:rsidRPr="009E4658">
              <w:rPr>
                <w:rFonts w:ascii="Calibri" w:hAnsi="Calibri"/>
                <w:b/>
                <w:sz w:val="22"/>
                <w:szCs w:val="22"/>
              </w:rPr>
              <w:t xml:space="preserve">Medium Risk </w:t>
            </w:r>
            <w:r w:rsidRPr="009E4658">
              <w:rPr>
                <w:rFonts w:ascii="Calibri" w:hAnsi="Calibri"/>
                <w:sz w:val="22"/>
                <w:szCs w:val="22"/>
              </w:rPr>
              <w:t>Systems or data that if compromised (data viewed by unauthorized personnel, data corrupted, or data lost) would cause a moderate disruption in business, minor legal or financial ramifications, or provide further access to other systems. The targeted system or data requires a moderate effort to restore or the restoration process is disruptive to the system.</w:t>
            </w:r>
          </w:p>
          <w:p w:rsidR="006D45D2" w:rsidRPr="00EC1A56" w:rsidRDefault="006D45D2" w:rsidP="006D45D2">
            <w:pPr>
              <w:pStyle w:val="ListParagraph"/>
              <w:numPr>
                <w:ilvl w:val="0"/>
                <w:numId w:val="3"/>
              </w:numPr>
              <w:ind w:right="-60"/>
              <w:jc w:val="both"/>
              <w:rPr>
                <w:rFonts w:ascii="Calibri" w:hAnsi="Calibri"/>
                <w:sz w:val="22"/>
                <w:szCs w:val="22"/>
              </w:rPr>
            </w:pPr>
            <w:r w:rsidRPr="009E4658">
              <w:rPr>
                <w:rFonts w:ascii="Calibri" w:hAnsi="Calibri"/>
                <w:b/>
                <w:sz w:val="22"/>
                <w:szCs w:val="22"/>
              </w:rPr>
              <w:t xml:space="preserve">High Risk </w:t>
            </w:r>
            <w:r w:rsidRPr="009E4658">
              <w:rPr>
                <w:rFonts w:ascii="Calibri" w:hAnsi="Calibri"/>
                <w:sz w:val="22"/>
                <w:szCs w:val="22"/>
              </w:rPr>
              <w:t xml:space="preserve">Systems or data that if compromised (data viewed by unauthorized personnel, data corrupted, or data lost) would cause an extreme disruption in business, cause major legal or financial ramifications, or threaten the health and safety of a person. The targeted system or data requires significant effort to restore or the restoration process is disruptive to the business or other </w:t>
            </w:r>
            <w:r w:rsidRPr="00EC1A56">
              <w:rPr>
                <w:rFonts w:ascii="Calibri" w:hAnsi="Calibri"/>
                <w:sz w:val="22"/>
                <w:szCs w:val="22"/>
              </w:rPr>
              <w:t>Systems.</w:t>
            </w:r>
          </w:p>
          <w:p w:rsidR="006D45D2" w:rsidRPr="00720EE8" w:rsidRDefault="006D45D2" w:rsidP="00720EE8">
            <w:pPr>
              <w:pStyle w:val="BodyText"/>
              <w:rPr>
                <w:rFonts w:asciiTheme="minorHAnsi" w:hAnsiTheme="minorHAnsi"/>
                <w:sz w:val="22"/>
                <w:szCs w:val="22"/>
              </w:rPr>
            </w:pP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F50E17" w:rsidP="00720EE8">
            <w:pPr>
              <w:rPr>
                <w:color w:val="000000" w:themeColor="text1"/>
              </w:rPr>
            </w:pPr>
            <w:r>
              <w:rPr>
                <w:color w:val="000000" w:themeColor="text1"/>
              </w:rPr>
              <w:t>[organisation]</w:t>
            </w:r>
            <w:r w:rsidR="00467AC8" w:rsidRPr="00467AC8">
              <w:rPr>
                <w:color w:val="000000" w:themeColor="text1"/>
              </w:rPr>
              <w:t xml:space="preserve"> shall develop and implement specific risk management plans for high impact risks, while lower impact risks may be accepted and monitored.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4012B2" w:rsidP="00F50E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1F4E79" w:themeColor="accent1" w:themeShade="80"/>
              </w:rPr>
            </w:pPr>
            <w:r w:rsidRPr="009E4658">
              <w:rPr>
                <w:rFonts w:ascii="Calibri" w:hAnsi="Calibri"/>
              </w:rPr>
              <w:t xml:space="preserve">There must be oversight and review of the Risk Register and any changes that might affect it.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012B2" w:rsidP="00495E74">
            <w:pPr>
              <w:rPr>
                <w:color w:val="1F4E79" w:themeColor="accent1" w:themeShade="80"/>
              </w:rPr>
            </w:pPr>
            <w:r w:rsidRPr="004012B2">
              <w:rPr>
                <w:color w:val="000000" w:themeColor="text1"/>
              </w:rPr>
              <w:t>Monitoring and review</w:t>
            </w:r>
            <w:r w:rsidR="00343D0A">
              <w:rPr>
                <w:color w:val="000000" w:themeColor="text1"/>
              </w:rPr>
              <w:t xml:space="preserve"> of [organisation] risks</w:t>
            </w:r>
            <w:r w:rsidRPr="004012B2">
              <w:rPr>
                <w:color w:val="000000" w:themeColor="text1"/>
              </w:rPr>
              <w:t xml:space="preserve"> shall occur throughout the risk management process.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012B2" w:rsidP="00F50E17">
            <w:pPr>
              <w:rPr>
                <w:color w:val="1F4E79" w:themeColor="accent1" w:themeShade="80"/>
              </w:rPr>
            </w:pPr>
            <w:r w:rsidRPr="004012B2">
              <w:rPr>
                <w:color w:val="000000" w:themeColor="text1"/>
              </w:rPr>
              <w:t xml:space="preserve">Appropriate communication and consultation shall take place with internal and external stakeholders at relevant stages of the risk management process in a way that will enable </w:t>
            </w:r>
            <w:r w:rsidR="00F50E17">
              <w:rPr>
                <w:color w:val="000000" w:themeColor="text1"/>
              </w:rPr>
              <w:t>[organisation]</w:t>
            </w:r>
            <w:r w:rsidRPr="004012B2">
              <w:rPr>
                <w:color w:val="000000" w:themeColor="text1"/>
              </w:rPr>
              <w:t xml:space="preserve"> minimise losses and capitalise on opportunities.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012B2" w:rsidP="00495E74">
            <w:pPr>
              <w:pStyle w:val="BodyText"/>
              <w:rPr>
                <w:rFonts w:asciiTheme="minorHAnsi" w:hAnsiTheme="minorHAnsi"/>
                <w:sz w:val="22"/>
                <w:szCs w:val="22"/>
              </w:rPr>
            </w:pPr>
            <w:r w:rsidRPr="004012B2">
              <w:rPr>
                <w:rFonts w:asciiTheme="minorHAnsi" w:hAnsiTheme="minorHAnsi"/>
                <w:sz w:val="22"/>
                <w:szCs w:val="22"/>
              </w:rPr>
              <w:t>There shall be an annual process that identifies threats, and vulnerabilities, and results in a formal risk assessment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012B2" w:rsidRDefault="004012B2" w:rsidP="004012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cs="Calibri"/>
              </w:rPr>
            </w:pPr>
            <w:r>
              <w:rPr>
                <w:rFonts w:ascii="Calibri" w:hAnsi="Calibri" w:cs="Calibri"/>
              </w:rPr>
              <w:t>Risk assessment must be carried out on all changes across the IT infrastructures &amp; assets.</w:t>
            </w:r>
          </w:p>
        </w:tc>
      </w:tr>
    </w:tbl>
    <w:p w:rsidR="00FE3B15" w:rsidRDefault="00FE3B15" w:rsidP="00FE3B15">
      <w:pPr>
        <w:rPr>
          <w:b/>
          <w:color w:val="1F4E79" w:themeColor="accent1" w:themeShade="80"/>
        </w:rPr>
      </w:pPr>
    </w:p>
    <w:p w:rsidR="004012B2" w:rsidRDefault="00343D0A" w:rsidP="004012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hAnsi="Calibri"/>
        </w:rPr>
      </w:pPr>
      <w:r>
        <w:rPr>
          <w:rFonts w:ascii="Calibri" w:hAnsi="Calibri"/>
        </w:rPr>
        <w:t>The r</w:t>
      </w:r>
      <w:r w:rsidR="004012B2">
        <w:rPr>
          <w:rFonts w:ascii="Calibri" w:hAnsi="Calibri"/>
        </w:rPr>
        <w:t>isk assessment process must have a clearly documented process as shown below:</w:t>
      </w:r>
    </w:p>
    <w:p w:rsidR="004012B2" w:rsidRDefault="004012B2" w:rsidP="00FE3B15">
      <w:pPr>
        <w:rPr>
          <w:b/>
          <w:color w:val="1F4E79" w:themeColor="accent1" w:themeShade="80"/>
        </w:rPr>
      </w:pPr>
      <w:r w:rsidRPr="00444B3E">
        <w:rPr>
          <w:rFonts w:ascii="Calibri" w:hAnsi="Calibri"/>
          <w:noProof/>
          <w:lang w:eastAsia="en-GB"/>
        </w:rPr>
        <w:drawing>
          <wp:inline distT="0" distB="0" distL="0" distR="0">
            <wp:extent cx="5483860" cy="3201670"/>
            <wp:effectExtent l="57150" t="38100" r="40640" b="55880"/>
            <wp:docPr id="3"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sectPr w:rsidR="004012B2">
      <w:headerReference w:type="even" r:id="rId13"/>
      <w:headerReference w:type="default" r:id="rId14"/>
      <w:foot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F37" w:rsidRDefault="001E3F37" w:rsidP="00FB67DF">
      <w:pPr>
        <w:spacing w:after="0" w:line="240" w:lineRule="auto"/>
      </w:pPr>
      <w:r>
        <w:separator/>
      </w:r>
    </w:p>
  </w:endnote>
  <w:endnote w:type="continuationSeparator" w:id="0">
    <w:p w:rsidR="001E3F37" w:rsidRDefault="001E3F37"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 w:name="Futura Lt BT">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Company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5C480F">
      <w:rPr>
        <w:b/>
        <w:noProof/>
        <w:color w:val="2E74B5" w:themeColor="accent1" w:themeShade="BF"/>
      </w:rPr>
      <w:t>6</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5C480F">
      <w:rPr>
        <w:b/>
        <w:noProof/>
        <w:color w:val="2E74B5" w:themeColor="accent1" w:themeShade="BF"/>
      </w:rPr>
      <w:t>6</w:t>
    </w:r>
    <w:r w:rsidRPr="00024927">
      <w:rPr>
        <w:b/>
        <w:color w:val="2E74B5" w:themeColor="accent1" w:themeShade="BF"/>
      </w:rPr>
      <w:fldChar w:fldCharType="end"/>
    </w:r>
  </w:p>
  <w:p w:rsidR="003B5C1D" w:rsidRDefault="003B5C1D" w:rsidP="003B5C1D">
    <w:pPr>
      <w:pStyle w:val="Footer"/>
      <w:ind w:left="-227"/>
      <w:rPr>
        <w:b/>
        <w:color w:val="FF0000"/>
        <w:sz w:val="18"/>
        <w:szCs w:val="18"/>
      </w:rPr>
    </w:pPr>
    <w:r w:rsidRPr="005C480F">
      <w:rPr>
        <w:b/>
        <w:color w:val="2E74B5" w:themeColor="accent1" w:themeShade="BF"/>
        <w:sz w:val="18"/>
        <w:szCs w:val="18"/>
      </w:rPr>
      <w:t xml:space="preserve">    </w:t>
    </w:r>
    <w:proofErr w:type="spellStart"/>
    <w:r w:rsidRPr="005C480F">
      <w:rPr>
        <w:b/>
        <w:color w:val="FF0000"/>
        <w:sz w:val="18"/>
        <w:szCs w:val="18"/>
      </w:rPr>
      <w:t>NetHost</w:t>
    </w:r>
    <w:proofErr w:type="spellEnd"/>
    <w:r w:rsidRPr="005C480F">
      <w:rPr>
        <w:b/>
        <w:color w:val="FF0000"/>
        <w:sz w:val="18"/>
        <w:szCs w:val="18"/>
      </w:rPr>
      <w:t xml:space="preserve"> Legislation- Cyber Essentials and ISO Standard Management System Certification Company, Scotland</w:t>
    </w:r>
    <w:r w:rsidR="005C480F" w:rsidRPr="005C480F">
      <w:rPr>
        <w:b/>
        <w:color w:val="FF0000"/>
        <w:sz w:val="18"/>
        <w:szCs w:val="18"/>
      </w:rPr>
      <w:t>/England</w:t>
    </w:r>
  </w:p>
  <w:p w:rsidR="005C480F" w:rsidRPr="005C480F" w:rsidRDefault="005C480F" w:rsidP="003B5C1D">
    <w:pPr>
      <w:pStyle w:val="Footer"/>
      <w:ind w:left="-227"/>
      <w:rPr>
        <w:b/>
        <w:color w:val="FF0000"/>
        <w:sz w:val="18"/>
        <w:szCs w:val="18"/>
      </w:rPr>
    </w:pPr>
  </w:p>
  <w:p w:rsidR="00501855" w:rsidRPr="003B5C1D" w:rsidRDefault="00501855"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F37" w:rsidRDefault="001E3F37" w:rsidP="00FB67DF">
      <w:pPr>
        <w:spacing w:after="0" w:line="240" w:lineRule="auto"/>
      </w:pPr>
      <w:r>
        <w:separator/>
      </w:r>
    </w:p>
  </w:footnote>
  <w:footnote w:type="continuationSeparator" w:id="0">
    <w:p w:rsidR="001E3F37" w:rsidRDefault="001E3F37"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1E3F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1E3F37"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C480F">
                              <w:rPr>
                                <w:noProof/>
                                <w:color w:val="FFFFFF" w:themeColor="background1"/>
                                <w:sz w:val="24"/>
                                <w:szCs w:val="24"/>
                              </w:rPr>
                              <w:t>6</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C480F">
                        <w:rPr>
                          <w:noProof/>
                          <w:color w:val="FFFFFF" w:themeColor="background1"/>
                          <w:sz w:val="24"/>
                          <w:szCs w:val="24"/>
                        </w:rPr>
                        <w:t>6</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8046F0">
      <w:rPr>
        <w:caps/>
        <w:noProof/>
        <w:color w:val="2E74B5" w:themeColor="accent1" w:themeShade="BF"/>
        <w:sz w:val="28"/>
        <w:szCs w:val="28"/>
        <w:lang w:eastAsia="en-GB"/>
      </w:rPr>
      <w:t>Information system risk management 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1E3F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31F16"/>
    <w:multiLevelType w:val="hybridMultilevel"/>
    <w:tmpl w:val="F11C86E2"/>
    <w:lvl w:ilvl="0" w:tplc="0409000B">
      <w:start w:val="1"/>
      <w:numFmt w:val="bullet"/>
      <w:lvlText w:val=""/>
      <w:lvlJc w:val="left"/>
      <w:pPr>
        <w:ind w:left="920" w:hanging="360"/>
      </w:pPr>
      <w:rPr>
        <w:rFonts w:ascii="Wingdings" w:hAnsi="Wingdings"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A596D23"/>
    <w:multiLevelType w:val="hybridMultilevel"/>
    <w:tmpl w:val="F9608B8C"/>
    <w:lvl w:ilvl="0" w:tplc="0E20439E">
      <w:start w:val="1"/>
      <w:numFmt w:val="bullet"/>
      <w:lvlText w:val="o"/>
      <w:lvlJc w:val="left"/>
      <w:pPr>
        <w:ind w:left="360" w:hanging="360"/>
      </w:pPr>
      <w:rPr>
        <w:rFonts w:ascii="Courier New" w:hAnsi="Courier New" w:hint="default"/>
        <w:color w:val="9CC2E5" w:themeColor="accent1" w:themeTint="9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2352D"/>
    <w:rsid w:val="00177BD6"/>
    <w:rsid w:val="001A1112"/>
    <w:rsid w:val="001C4716"/>
    <w:rsid w:val="001E3F37"/>
    <w:rsid w:val="001E7B24"/>
    <w:rsid w:val="0020507A"/>
    <w:rsid w:val="00343D0A"/>
    <w:rsid w:val="00394236"/>
    <w:rsid w:val="003A20A0"/>
    <w:rsid w:val="003B5C1D"/>
    <w:rsid w:val="004012B2"/>
    <w:rsid w:val="0042368D"/>
    <w:rsid w:val="00447404"/>
    <w:rsid w:val="00467AC8"/>
    <w:rsid w:val="00495E74"/>
    <w:rsid w:val="004A7284"/>
    <w:rsid w:val="004A7438"/>
    <w:rsid w:val="00501855"/>
    <w:rsid w:val="005C480F"/>
    <w:rsid w:val="00655479"/>
    <w:rsid w:val="00676E45"/>
    <w:rsid w:val="006D45D2"/>
    <w:rsid w:val="00720EE8"/>
    <w:rsid w:val="00794F4A"/>
    <w:rsid w:val="008046F0"/>
    <w:rsid w:val="008A0CB1"/>
    <w:rsid w:val="008E1DCA"/>
    <w:rsid w:val="009504AE"/>
    <w:rsid w:val="00982C52"/>
    <w:rsid w:val="00A411A4"/>
    <w:rsid w:val="00AF3508"/>
    <w:rsid w:val="00BB3A72"/>
    <w:rsid w:val="00C42AD2"/>
    <w:rsid w:val="00EA7E93"/>
    <w:rsid w:val="00ED3408"/>
    <w:rsid w:val="00EE4EB8"/>
    <w:rsid w:val="00F50E17"/>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A96D92"/>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 w:type="paragraph" w:styleId="ListParagraph">
    <w:name w:val="List Paragraph"/>
    <w:basedOn w:val="Normal"/>
    <w:uiPriority w:val="34"/>
    <w:qFormat/>
    <w:rsid w:val="006D45D2"/>
    <w:pPr>
      <w:spacing w:after="0" w:line="240" w:lineRule="auto"/>
      <w:ind w:left="720"/>
      <w:contextualSpacing/>
    </w:pPr>
    <w:rPr>
      <w:rFonts w:ascii="Futura Lt BT" w:eastAsia="Times New Roman" w:hAnsi="Futura Lt BT"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6F53C3-69DE-D843-8790-996392A4E03B}" type="doc">
      <dgm:prSet loTypeId="urn:microsoft.com/office/officeart/2005/8/layout/process4" loCatId="" qsTypeId="urn:microsoft.com/office/officeart/2005/8/quickstyle/simple3" qsCatId="simple" csTypeId="urn:microsoft.com/office/officeart/2005/8/colors/colorful1#1" csCatId="colorful" phldr="1"/>
      <dgm:spPr/>
      <dgm:t>
        <a:bodyPr/>
        <a:lstStyle/>
        <a:p>
          <a:endParaRPr lang="en-US"/>
        </a:p>
      </dgm:t>
    </dgm:pt>
    <dgm:pt modelId="{BB9ADE22-D21D-7744-B7B0-D4CE72486AC2}">
      <dgm:prSet phldrT="[Text]" custT="1"/>
      <dgm:spPr/>
      <dgm:t>
        <a:bodyPr/>
        <a:lstStyle/>
        <a:p>
          <a:r>
            <a:rPr lang="en-US" sz="1100">
              <a:latin typeface="Calibri"/>
              <a:cs typeface="Calibri"/>
            </a:rPr>
            <a:t>System Characterization</a:t>
          </a:r>
        </a:p>
      </dgm:t>
    </dgm:pt>
    <dgm:pt modelId="{9ACDA14C-4948-7C41-8E1E-0FA0F38BD6BD}" type="parTrans" cxnId="{D359C23F-58D6-BB44-BB79-056B537458F7}">
      <dgm:prSet/>
      <dgm:spPr/>
      <dgm:t>
        <a:bodyPr/>
        <a:lstStyle/>
        <a:p>
          <a:endParaRPr lang="en-US" sz="1100">
            <a:solidFill>
              <a:srgbClr val="000000"/>
            </a:solidFill>
            <a:latin typeface="Calibri"/>
            <a:cs typeface="Calibri"/>
          </a:endParaRPr>
        </a:p>
      </dgm:t>
    </dgm:pt>
    <dgm:pt modelId="{8E952D1F-FDE9-1049-BB70-EDB60748222A}" type="sibTrans" cxnId="{D359C23F-58D6-BB44-BB79-056B537458F7}">
      <dgm:prSet/>
      <dgm:spPr/>
      <dgm:t>
        <a:bodyPr/>
        <a:lstStyle/>
        <a:p>
          <a:endParaRPr lang="en-US" sz="1100">
            <a:solidFill>
              <a:srgbClr val="000000"/>
            </a:solidFill>
            <a:latin typeface="Calibri"/>
            <a:cs typeface="Calibri"/>
          </a:endParaRPr>
        </a:p>
      </dgm:t>
    </dgm:pt>
    <dgm:pt modelId="{40792A02-5F80-8B4B-8F1D-5613B764D297}">
      <dgm:prSet phldrT="[Text]" custT="1"/>
      <dgm:spPr/>
      <dgm:t>
        <a:bodyPr/>
        <a:lstStyle/>
        <a:p>
          <a:r>
            <a:rPr lang="en-US" sz="1100">
              <a:latin typeface="Calibri"/>
              <a:cs typeface="Calibri"/>
            </a:rPr>
            <a:t>Threat Identification</a:t>
          </a:r>
        </a:p>
      </dgm:t>
    </dgm:pt>
    <dgm:pt modelId="{72B6BFE6-2D05-4B46-8F3A-AA91E67EC2D4}" type="parTrans" cxnId="{FA6BC2D0-02E0-F441-9D96-7AD15026131E}">
      <dgm:prSet/>
      <dgm:spPr/>
      <dgm:t>
        <a:bodyPr/>
        <a:lstStyle/>
        <a:p>
          <a:endParaRPr lang="en-US" sz="1100">
            <a:solidFill>
              <a:srgbClr val="000000"/>
            </a:solidFill>
            <a:latin typeface="Calibri"/>
            <a:cs typeface="Calibri"/>
          </a:endParaRPr>
        </a:p>
      </dgm:t>
    </dgm:pt>
    <dgm:pt modelId="{CE0EE301-5565-E74E-BFFF-F7BB5C3B7429}" type="sibTrans" cxnId="{FA6BC2D0-02E0-F441-9D96-7AD15026131E}">
      <dgm:prSet/>
      <dgm:spPr/>
      <dgm:t>
        <a:bodyPr/>
        <a:lstStyle/>
        <a:p>
          <a:endParaRPr lang="en-US" sz="1100">
            <a:solidFill>
              <a:srgbClr val="000000"/>
            </a:solidFill>
            <a:latin typeface="Calibri"/>
            <a:cs typeface="Calibri"/>
          </a:endParaRPr>
        </a:p>
      </dgm:t>
    </dgm:pt>
    <dgm:pt modelId="{1C3F142A-17FA-8C40-B058-917AD8E597A7}">
      <dgm:prSet phldrT="[Text]" custT="1"/>
      <dgm:spPr/>
      <dgm:t>
        <a:bodyPr/>
        <a:lstStyle/>
        <a:p>
          <a:r>
            <a:rPr lang="en-US" sz="1100">
              <a:latin typeface="Calibri"/>
              <a:cs typeface="Calibri"/>
            </a:rPr>
            <a:t>Vulnerability Identification</a:t>
          </a:r>
        </a:p>
      </dgm:t>
    </dgm:pt>
    <dgm:pt modelId="{F2ED0C65-8E5A-8B47-9D6F-80BE1E65EE80}" type="parTrans" cxnId="{6453F311-AB05-6E4A-B0BA-906C23C333AC}">
      <dgm:prSet/>
      <dgm:spPr/>
      <dgm:t>
        <a:bodyPr/>
        <a:lstStyle/>
        <a:p>
          <a:endParaRPr lang="en-US" sz="1100">
            <a:solidFill>
              <a:srgbClr val="000000"/>
            </a:solidFill>
            <a:latin typeface="Calibri"/>
            <a:cs typeface="Calibri"/>
          </a:endParaRPr>
        </a:p>
      </dgm:t>
    </dgm:pt>
    <dgm:pt modelId="{F34843AD-3F2E-4340-9A71-26949E029EAF}" type="sibTrans" cxnId="{6453F311-AB05-6E4A-B0BA-906C23C333AC}">
      <dgm:prSet/>
      <dgm:spPr/>
      <dgm:t>
        <a:bodyPr/>
        <a:lstStyle/>
        <a:p>
          <a:endParaRPr lang="en-US" sz="1100">
            <a:solidFill>
              <a:srgbClr val="000000"/>
            </a:solidFill>
            <a:latin typeface="Calibri"/>
            <a:cs typeface="Calibri"/>
          </a:endParaRPr>
        </a:p>
      </dgm:t>
    </dgm:pt>
    <dgm:pt modelId="{F828B37F-09BB-464A-8262-B7A2943D7678}">
      <dgm:prSet phldrT="[Text]" custT="1"/>
      <dgm:spPr/>
      <dgm:t>
        <a:bodyPr/>
        <a:lstStyle/>
        <a:p>
          <a:r>
            <a:rPr lang="en-US" sz="1100">
              <a:latin typeface="Calibri"/>
              <a:cs typeface="Calibri"/>
            </a:rPr>
            <a:t>Control Analysis</a:t>
          </a:r>
        </a:p>
      </dgm:t>
    </dgm:pt>
    <dgm:pt modelId="{E1F93495-7F01-EC4F-9515-494C33180ADD}" type="parTrans" cxnId="{D9A154E2-E53B-974E-B47F-0F331DE64458}">
      <dgm:prSet/>
      <dgm:spPr/>
      <dgm:t>
        <a:bodyPr/>
        <a:lstStyle/>
        <a:p>
          <a:endParaRPr lang="en-US" sz="1100">
            <a:solidFill>
              <a:srgbClr val="000000"/>
            </a:solidFill>
            <a:latin typeface="Calibri"/>
            <a:cs typeface="Calibri"/>
          </a:endParaRPr>
        </a:p>
      </dgm:t>
    </dgm:pt>
    <dgm:pt modelId="{3E3DA554-4C1D-5443-B79C-73F5DDD33A08}" type="sibTrans" cxnId="{D9A154E2-E53B-974E-B47F-0F331DE64458}">
      <dgm:prSet/>
      <dgm:spPr/>
      <dgm:t>
        <a:bodyPr/>
        <a:lstStyle/>
        <a:p>
          <a:endParaRPr lang="en-US" sz="1100">
            <a:solidFill>
              <a:srgbClr val="000000"/>
            </a:solidFill>
            <a:latin typeface="Calibri"/>
            <a:cs typeface="Calibri"/>
          </a:endParaRPr>
        </a:p>
      </dgm:t>
    </dgm:pt>
    <dgm:pt modelId="{30BBABF3-E7FC-2F49-A52C-4915500F2C20}">
      <dgm:prSet phldrT="[Text]" custT="1"/>
      <dgm:spPr/>
      <dgm:t>
        <a:bodyPr/>
        <a:lstStyle/>
        <a:p>
          <a:r>
            <a:rPr lang="en-US" sz="1100">
              <a:latin typeface="Calibri"/>
              <a:cs typeface="Calibri"/>
            </a:rPr>
            <a:t>Likelihood Determination</a:t>
          </a:r>
        </a:p>
      </dgm:t>
    </dgm:pt>
    <dgm:pt modelId="{BE8F2B3D-401E-5B4D-BC66-CA740B132A9F}" type="parTrans" cxnId="{D10914D4-6585-D74E-AD79-B69E5846268B}">
      <dgm:prSet/>
      <dgm:spPr/>
      <dgm:t>
        <a:bodyPr/>
        <a:lstStyle/>
        <a:p>
          <a:endParaRPr lang="en-US" sz="1100">
            <a:solidFill>
              <a:srgbClr val="000000"/>
            </a:solidFill>
            <a:latin typeface="Calibri"/>
            <a:cs typeface="Calibri"/>
          </a:endParaRPr>
        </a:p>
      </dgm:t>
    </dgm:pt>
    <dgm:pt modelId="{39FDF78D-2E5E-B04E-997C-7CEB5E6B9AE5}" type="sibTrans" cxnId="{D10914D4-6585-D74E-AD79-B69E5846268B}">
      <dgm:prSet/>
      <dgm:spPr/>
      <dgm:t>
        <a:bodyPr/>
        <a:lstStyle/>
        <a:p>
          <a:endParaRPr lang="en-US" sz="1100">
            <a:solidFill>
              <a:srgbClr val="000000"/>
            </a:solidFill>
            <a:latin typeface="Calibri"/>
            <a:cs typeface="Calibri"/>
          </a:endParaRPr>
        </a:p>
      </dgm:t>
    </dgm:pt>
    <dgm:pt modelId="{D2B462D0-3C51-1142-A322-6A43C02F6AD6}">
      <dgm:prSet phldrT="[Text]" custT="1"/>
      <dgm:spPr/>
      <dgm:t>
        <a:bodyPr/>
        <a:lstStyle/>
        <a:p>
          <a:r>
            <a:rPr lang="en-US" sz="1100">
              <a:latin typeface="Calibri"/>
              <a:cs typeface="Calibri"/>
            </a:rPr>
            <a:t>Impact Analysis</a:t>
          </a:r>
        </a:p>
      </dgm:t>
    </dgm:pt>
    <dgm:pt modelId="{1D8D5C60-D65F-9549-9D17-6F7E0B7F9688}" type="parTrans" cxnId="{61AE4812-2DD5-8C42-AA9A-BEC720AE9DDA}">
      <dgm:prSet/>
      <dgm:spPr/>
      <dgm:t>
        <a:bodyPr/>
        <a:lstStyle/>
        <a:p>
          <a:endParaRPr lang="en-US" sz="1100">
            <a:solidFill>
              <a:srgbClr val="000000"/>
            </a:solidFill>
            <a:latin typeface="Calibri"/>
            <a:cs typeface="Calibri"/>
          </a:endParaRPr>
        </a:p>
      </dgm:t>
    </dgm:pt>
    <dgm:pt modelId="{47C0077A-692D-B44A-90E2-814C90C01A45}" type="sibTrans" cxnId="{61AE4812-2DD5-8C42-AA9A-BEC720AE9DDA}">
      <dgm:prSet/>
      <dgm:spPr/>
      <dgm:t>
        <a:bodyPr/>
        <a:lstStyle/>
        <a:p>
          <a:endParaRPr lang="en-US" sz="1100">
            <a:solidFill>
              <a:srgbClr val="000000"/>
            </a:solidFill>
            <a:latin typeface="Calibri"/>
            <a:cs typeface="Calibri"/>
          </a:endParaRPr>
        </a:p>
      </dgm:t>
    </dgm:pt>
    <dgm:pt modelId="{3903731C-4B97-2744-A2D7-36F5183D0EAD}">
      <dgm:prSet phldrT="[Text]" custT="1"/>
      <dgm:spPr/>
      <dgm:t>
        <a:bodyPr/>
        <a:lstStyle/>
        <a:p>
          <a:r>
            <a:rPr lang="en-US" sz="1100">
              <a:latin typeface="Calibri"/>
              <a:cs typeface="Calibri"/>
            </a:rPr>
            <a:t>Risk Determination</a:t>
          </a:r>
        </a:p>
      </dgm:t>
    </dgm:pt>
    <dgm:pt modelId="{9B81DFB7-7944-544E-B041-5A2225B6A57B}" type="parTrans" cxnId="{75D4CCDD-37F4-C34D-B3D6-170119A215D8}">
      <dgm:prSet/>
      <dgm:spPr/>
      <dgm:t>
        <a:bodyPr/>
        <a:lstStyle/>
        <a:p>
          <a:endParaRPr lang="en-US" sz="1100">
            <a:solidFill>
              <a:srgbClr val="000000"/>
            </a:solidFill>
            <a:latin typeface="Calibri"/>
            <a:cs typeface="Calibri"/>
          </a:endParaRPr>
        </a:p>
      </dgm:t>
    </dgm:pt>
    <dgm:pt modelId="{1E172982-8B32-8F41-8F9C-B1701D3E44AD}" type="sibTrans" cxnId="{75D4CCDD-37F4-C34D-B3D6-170119A215D8}">
      <dgm:prSet/>
      <dgm:spPr/>
      <dgm:t>
        <a:bodyPr/>
        <a:lstStyle/>
        <a:p>
          <a:endParaRPr lang="en-US" sz="1100">
            <a:solidFill>
              <a:srgbClr val="000000"/>
            </a:solidFill>
            <a:latin typeface="Calibri"/>
            <a:cs typeface="Calibri"/>
          </a:endParaRPr>
        </a:p>
      </dgm:t>
    </dgm:pt>
    <dgm:pt modelId="{FF611E21-1132-4841-9577-AFD191D13EA4}">
      <dgm:prSet phldrT="[Text]" custT="1"/>
      <dgm:spPr/>
      <dgm:t>
        <a:bodyPr/>
        <a:lstStyle/>
        <a:p>
          <a:r>
            <a:rPr lang="en-US" sz="1100">
              <a:latin typeface="Calibri"/>
              <a:cs typeface="Calibri"/>
            </a:rPr>
            <a:t>Control Recommendations</a:t>
          </a:r>
        </a:p>
      </dgm:t>
    </dgm:pt>
    <dgm:pt modelId="{63CFFB24-43B9-4C4D-AE85-764297ACC56E}" type="parTrans" cxnId="{B240AD52-1C12-7C4D-A589-11839B9B72DF}">
      <dgm:prSet/>
      <dgm:spPr/>
      <dgm:t>
        <a:bodyPr/>
        <a:lstStyle/>
        <a:p>
          <a:endParaRPr lang="en-US" sz="1100">
            <a:solidFill>
              <a:srgbClr val="000000"/>
            </a:solidFill>
            <a:latin typeface="Calibri"/>
            <a:cs typeface="Calibri"/>
          </a:endParaRPr>
        </a:p>
      </dgm:t>
    </dgm:pt>
    <dgm:pt modelId="{A039CDE3-681F-0E46-82E1-A09E7E6BA3E6}" type="sibTrans" cxnId="{B240AD52-1C12-7C4D-A589-11839B9B72DF}">
      <dgm:prSet/>
      <dgm:spPr/>
      <dgm:t>
        <a:bodyPr/>
        <a:lstStyle/>
        <a:p>
          <a:endParaRPr lang="en-US" sz="1100">
            <a:solidFill>
              <a:srgbClr val="000000"/>
            </a:solidFill>
            <a:latin typeface="Calibri"/>
            <a:cs typeface="Calibri"/>
          </a:endParaRPr>
        </a:p>
      </dgm:t>
    </dgm:pt>
    <dgm:pt modelId="{2F9BE017-A240-234C-AE55-CA5DB5D5AE36}">
      <dgm:prSet phldrT="[Text]" custT="1"/>
      <dgm:spPr/>
      <dgm:t>
        <a:bodyPr/>
        <a:lstStyle/>
        <a:p>
          <a:r>
            <a:rPr lang="en-US" sz="1100">
              <a:latin typeface="Calibri"/>
              <a:cs typeface="Calibri"/>
            </a:rPr>
            <a:t>Results Documentation</a:t>
          </a:r>
        </a:p>
      </dgm:t>
    </dgm:pt>
    <dgm:pt modelId="{82F83FD3-7B28-0C4A-AE17-2D14FAE9EB71}" type="parTrans" cxnId="{24B624D9-09AE-3A41-816D-AD5ABF3B88EF}">
      <dgm:prSet/>
      <dgm:spPr/>
      <dgm:t>
        <a:bodyPr/>
        <a:lstStyle/>
        <a:p>
          <a:endParaRPr lang="en-US" sz="1100">
            <a:solidFill>
              <a:srgbClr val="000000"/>
            </a:solidFill>
            <a:latin typeface="Calibri"/>
            <a:cs typeface="Calibri"/>
          </a:endParaRPr>
        </a:p>
      </dgm:t>
    </dgm:pt>
    <dgm:pt modelId="{61CCD5FE-A3EE-954B-B0EF-DC810528EE77}" type="sibTrans" cxnId="{24B624D9-09AE-3A41-816D-AD5ABF3B88EF}">
      <dgm:prSet/>
      <dgm:spPr/>
      <dgm:t>
        <a:bodyPr/>
        <a:lstStyle/>
        <a:p>
          <a:endParaRPr lang="en-US" sz="1100">
            <a:solidFill>
              <a:srgbClr val="000000"/>
            </a:solidFill>
            <a:latin typeface="Calibri"/>
            <a:cs typeface="Calibri"/>
          </a:endParaRPr>
        </a:p>
      </dgm:t>
    </dgm:pt>
    <dgm:pt modelId="{1BFD8151-55E0-B641-9989-917FA289A6FE}">
      <dgm:prSet phldrT="[Text]" custT="1"/>
      <dgm:spPr/>
      <dgm:t>
        <a:bodyPr/>
        <a:lstStyle/>
        <a:p>
          <a:r>
            <a:rPr lang="en-US" sz="1100">
              <a:latin typeface="Calibri"/>
              <a:cs typeface="Calibri"/>
            </a:rPr>
            <a:t>Risk Treatment</a:t>
          </a:r>
        </a:p>
      </dgm:t>
    </dgm:pt>
    <dgm:pt modelId="{CF4C876F-625A-D341-A826-85499828AF4E}" type="parTrans" cxnId="{429F5E53-978D-6A45-A7D7-62E47E548AB9}">
      <dgm:prSet/>
      <dgm:spPr/>
      <dgm:t>
        <a:bodyPr/>
        <a:lstStyle/>
        <a:p>
          <a:endParaRPr lang="en-US" sz="1100">
            <a:solidFill>
              <a:srgbClr val="000000"/>
            </a:solidFill>
            <a:latin typeface="Calibri"/>
            <a:cs typeface="Calibri"/>
          </a:endParaRPr>
        </a:p>
      </dgm:t>
    </dgm:pt>
    <dgm:pt modelId="{C97B038D-C743-A849-A020-FEA979C95DD1}" type="sibTrans" cxnId="{429F5E53-978D-6A45-A7D7-62E47E548AB9}">
      <dgm:prSet/>
      <dgm:spPr/>
      <dgm:t>
        <a:bodyPr/>
        <a:lstStyle/>
        <a:p>
          <a:endParaRPr lang="en-US" sz="1100">
            <a:solidFill>
              <a:srgbClr val="000000"/>
            </a:solidFill>
            <a:latin typeface="Calibri"/>
            <a:cs typeface="Calibri"/>
          </a:endParaRPr>
        </a:p>
      </dgm:t>
    </dgm:pt>
    <dgm:pt modelId="{ED6AC01F-A881-0945-9140-A6DEA3F82F29}" type="pres">
      <dgm:prSet presAssocID="{DA6F53C3-69DE-D843-8790-996392A4E03B}" presName="Name0" presStyleCnt="0">
        <dgm:presLayoutVars>
          <dgm:dir/>
          <dgm:animLvl val="lvl"/>
          <dgm:resizeHandles val="exact"/>
        </dgm:presLayoutVars>
      </dgm:prSet>
      <dgm:spPr/>
      <dgm:t>
        <a:bodyPr/>
        <a:lstStyle/>
        <a:p>
          <a:endParaRPr lang="en-US"/>
        </a:p>
      </dgm:t>
    </dgm:pt>
    <dgm:pt modelId="{95E3CC50-D619-AA43-ACD8-E6E34DFEAE01}" type="pres">
      <dgm:prSet presAssocID="{1BFD8151-55E0-B641-9989-917FA289A6FE}" presName="boxAndChildren" presStyleCnt="0"/>
      <dgm:spPr/>
    </dgm:pt>
    <dgm:pt modelId="{34D6D81F-8B01-F749-A93F-5B250A38340A}" type="pres">
      <dgm:prSet presAssocID="{1BFD8151-55E0-B641-9989-917FA289A6FE}" presName="parentTextBox" presStyleLbl="node1" presStyleIdx="0" presStyleCnt="10"/>
      <dgm:spPr/>
      <dgm:t>
        <a:bodyPr/>
        <a:lstStyle/>
        <a:p>
          <a:endParaRPr lang="en-US"/>
        </a:p>
      </dgm:t>
    </dgm:pt>
    <dgm:pt modelId="{8B2AA050-40D3-F64B-9FB5-EF593450A6AD}" type="pres">
      <dgm:prSet presAssocID="{61CCD5FE-A3EE-954B-B0EF-DC810528EE77}" presName="sp" presStyleCnt="0"/>
      <dgm:spPr/>
    </dgm:pt>
    <dgm:pt modelId="{F16A4E14-6E07-3448-A322-D690B67212DB}" type="pres">
      <dgm:prSet presAssocID="{2F9BE017-A240-234C-AE55-CA5DB5D5AE36}" presName="arrowAndChildren" presStyleCnt="0"/>
      <dgm:spPr/>
    </dgm:pt>
    <dgm:pt modelId="{3B0D7E75-91ED-5143-9A6B-6A1A926B53DC}" type="pres">
      <dgm:prSet presAssocID="{2F9BE017-A240-234C-AE55-CA5DB5D5AE36}" presName="parentTextArrow" presStyleLbl="node1" presStyleIdx="1" presStyleCnt="10"/>
      <dgm:spPr/>
      <dgm:t>
        <a:bodyPr/>
        <a:lstStyle/>
        <a:p>
          <a:endParaRPr lang="en-US"/>
        </a:p>
      </dgm:t>
    </dgm:pt>
    <dgm:pt modelId="{B60C6FFD-2885-264E-A8F6-66333C40485B}" type="pres">
      <dgm:prSet presAssocID="{A039CDE3-681F-0E46-82E1-A09E7E6BA3E6}" presName="sp" presStyleCnt="0"/>
      <dgm:spPr/>
    </dgm:pt>
    <dgm:pt modelId="{67F84403-7665-8045-AC65-A6D29A266C8A}" type="pres">
      <dgm:prSet presAssocID="{FF611E21-1132-4841-9577-AFD191D13EA4}" presName="arrowAndChildren" presStyleCnt="0"/>
      <dgm:spPr/>
    </dgm:pt>
    <dgm:pt modelId="{3BF67978-8386-5B4E-9606-31AE34538141}" type="pres">
      <dgm:prSet presAssocID="{FF611E21-1132-4841-9577-AFD191D13EA4}" presName="parentTextArrow" presStyleLbl="node1" presStyleIdx="2" presStyleCnt="10"/>
      <dgm:spPr/>
      <dgm:t>
        <a:bodyPr/>
        <a:lstStyle/>
        <a:p>
          <a:endParaRPr lang="en-US"/>
        </a:p>
      </dgm:t>
    </dgm:pt>
    <dgm:pt modelId="{61F0FA5D-004B-C64F-B7FA-650961D993AE}" type="pres">
      <dgm:prSet presAssocID="{1E172982-8B32-8F41-8F9C-B1701D3E44AD}" presName="sp" presStyleCnt="0"/>
      <dgm:spPr/>
    </dgm:pt>
    <dgm:pt modelId="{A4DB8FF1-E059-5F4B-B20E-EBB54C117912}" type="pres">
      <dgm:prSet presAssocID="{3903731C-4B97-2744-A2D7-36F5183D0EAD}" presName="arrowAndChildren" presStyleCnt="0"/>
      <dgm:spPr/>
    </dgm:pt>
    <dgm:pt modelId="{440A9105-A49F-A646-AAD0-98B3BD9FFB95}" type="pres">
      <dgm:prSet presAssocID="{3903731C-4B97-2744-A2D7-36F5183D0EAD}" presName="parentTextArrow" presStyleLbl="node1" presStyleIdx="3" presStyleCnt="10"/>
      <dgm:spPr/>
      <dgm:t>
        <a:bodyPr/>
        <a:lstStyle/>
        <a:p>
          <a:endParaRPr lang="en-US"/>
        </a:p>
      </dgm:t>
    </dgm:pt>
    <dgm:pt modelId="{8C69646A-09F7-F041-9F50-417AD60217F9}" type="pres">
      <dgm:prSet presAssocID="{47C0077A-692D-B44A-90E2-814C90C01A45}" presName="sp" presStyleCnt="0"/>
      <dgm:spPr/>
    </dgm:pt>
    <dgm:pt modelId="{7D611E5D-3196-0B4F-A2E5-E2FD83EBD7B8}" type="pres">
      <dgm:prSet presAssocID="{D2B462D0-3C51-1142-A322-6A43C02F6AD6}" presName="arrowAndChildren" presStyleCnt="0"/>
      <dgm:spPr/>
    </dgm:pt>
    <dgm:pt modelId="{34438270-3B26-DD48-B240-70DEC9279114}" type="pres">
      <dgm:prSet presAssocID="{D2B462D0-3C51-1142-A322-6A43C02F6AD6}" presName="parentTextArrow" presStyleLbl="node1" presStyleIdx="4" presStyleCnt="10"/>
      <dgm:spPr/>
      <dgm:t>
        <a:bodyPr/>
        <a:lstStyle/>
        <a:p>
          <a:endParaRPr lang="en-US"/>
        </a:p>
      </dgm:t>
    </dgm:pt>
    <dgm:pt modelId="{D73201E9-330B-D645-9455-A43DBD4F11A1}" type="pres">
      <dgm:prSet presAssocID="{39FDF78D-2E5E-B04E-997C-7CEB5E6B9AE5}" presName="sp" presStyleCnt="0"/>
      <dgm:spPr/>
    </dgm:pt>
    <dgm:pt modelId="{C724EB49-E92A-2545-AFC6-0D970CA4459F}" type="pres">
      <dgm:prSet presAssocID="{30BBABF3-E7FC-2F49-A52C-4915500F2C20}" presName="arrowAndChildren" presStyleCnt="0"/>
      <dgm:spPr/>
    </dgm:pt>
    <dgm:pt modelId="{5E1811F6-9C3A-7945-B40A-67E962B5394A}" type="pres">
      <dgm:prSet presAssocID="{30BBABF3-E7FC-2F49-A52C-4915500F2C20}" presName="parentTextArrow" presStyleLbl="node1" presStyleIdx="5" presStyleCnt="10"/>
      <dgm:spPr/>
      <dgm:t>
        <a:bodyPr/>
        <a:lstStyle/>
        <a:p>
          <a:endParaRPr lang="en-US"/>
        </a:p>
      </dgm:t>
    </dgm:pt>
    <dgm:pt modelId="{FE05566D-48A1-FB40-B47B-DABCD5EECD8A}" type="pres">
      <dgm:prSet presAssocID="{3E3DA554-4C1D-5443-B79C-73F5DDD33A08}" presName="sp" presStyleCnt="0"/>
      <dgm:spPr/>
    </dgm:pt>
    <dgm:pt modelId="{4F567E7B-25EF-D84B-9F1F-EC644DE3548F}" type="pres">
      <dgm:prSet presAssocID="{F828B37F-09BB-464A-8262-B7A2943D7678}" presName="arrowAndChildren" presStyleCnt="0"/>
      <dgm:spPr/>
    </dgm:pt>
    <dgm:pt modelId="{A657A105-7AEB-354F-89A3-C83C18140C99}" type="pres">
      <dgm:prSet presAssocID="{F828B37F-09BB-464A-8262-B7A2943D7678}" presName="parentTextArrow" presStyleLbl="node1" presStyleIdx="6" presStyleCnt="10"/>
      <dgm:spPr/>
      <dgm:t>
        <a:bodyPr/>
        <a:lstStyle/>
        <a:p>
          <a:endParaRPr lang="en-US"/>
        </a:p>
      </dgm:t>
    </dgm:pt>
    <dgm:pt modelId="{E614D993-3AA2-9A42-917C-21F75EA78951}" type="pres">
      <dgm:prSet presAssocID="{F34843AD-3F2E-4340-9A71-26949E029EAF}" presName="sp" presStyleCnt="0"/>
      <dgm:spPr/>
    </dgm:pt>
    <dgm:pt modelId="{9245E54E-BA4F-BD45-AE42-0C9C7394330B}" type="pres">
      <dgm:prSet presAssocID="{1C3F142A-17FA-8C40-B058-917AD8E597A7}" presName="arrowAndChildren" presStyleCnt="0"/>
      <dgm:spPr/>
    </dgm:pt>
    <dgm:pt modelId="{1825847D-1523-AA41-9BA7-E1BEB162EF0B}" type="pres">
      <dgm:prSet presAssocID="{1C3F142A-17FA-8C40-B058-917AD8E597A7}" presName="parentTextArrow" presStyleLbl="node1" presStyleIdx="7" presStyleCnt="10"/>
      <dgm:spPr/>
      <dgm:t>
        <a:bodyPr/>
        <a:lstStyle/>
        <a:p>
          <a:endParaRPr lang="en-US"/>
        </a:p>
      </dgm:t>
    </dgm:pt>
    <dgm:pt modelId="{D0CE2F86-403B-864D-84DF-4F5EE6C2D386}" type="pres">
      <dgm:prSet presAssocID="{CE0EE301-5565-E74E-BFFF-F7BB5C3B7429}" presName="sp" presStyleCnt="0"/>
      <dgm:spPr/>
    </dgm:pt>
    <dgm:pt modelId="{E47E7E5E-0D45-594D-A9BC-F6A8F97D89E9}" type="pres">
      <dgm:prSet presAssocID="{40792A02-5F80-8B4B-8F1D-5613B764D297}" presName="arrowAndChildren" presStyleCnt="0"/>
      <dgm:spPr/>
    </dgm:pt>
    <dgm:pt modelId="{07ADD209-5B2C-F34D-A628-2250C11632E9}" type="pres">
      <dgm:prSet presAssocID="{40792A02-5F80-8B4B-8F1D-5613B764D297}" presName="parentTextArrow" presStyleLbl="node1" presStyleIdx="8" presStyleCnt="10"/>
      <dgm:spPr/>
      <dgm:t>
        <a:bodyPr/>
        <a:lstStyle/>
        <a:p>
          <a:endParaRPr lang="en-US"/>
        </a:p>
      </dgm:t>
    </dgm:pt>
    <dgm:pt modelId="{3058AC5D-1B7F-CF48-9BBD-16F3F6F764B1}" type="pres">
      <dgm:prSet presAssocID="{8E952D1F-FDE9-1049-BB70-EDB60748222A}" presName="sp" presStyleCnt="0"/>
      <dgm:spPr/>
    </dgm:pt>
    <dgm:pt modelId="{DFF863CA-3866-D04C-993E-16741859CE79}" type="pres">
      <dgm:prSet presAssocID="{BB9ADE22-D21D-7744-B7B0-D4CE72486AC2}" presName="arrowAndChildren" presStyleCnt="0"/>
      <dgm:spPr/>
    </dgm:pt>
    <dgm:pt modelId="{4F123804-B942-6746-8217-6A700B6A9C39}" type="pres">
      <dgm:prSet presAssocID="{BB9ADE22-D21D-7744-B7B0-D4CE72486AC2}" presName="parentTextArrow" presStyleLbl="node1" presStyleIdx="9" presStyleCnt="10" custLinFactNeighborX="742" custLinFactNeighborY="4866"/>
      <dgm:spPr/>
      <dgm:t>
        <a:bodyPr/>
        <a:lstStyle/>
        <a:p>
          <a:endParaRPr lang="en-US"/>
        </a:p>
      </dgm:t>
    </dgm:pt>
  </dgm:ptLst>
  <dgm:cxnLst>
    <dgm:cxn modelId="{AC87918E-DE71-49F8-AE0A-9068F1C23F85}" type="presOf" srcId="{BB9ADE22-D21D-7744-B7B0-D4CE72486AC2}" destId="{4F123804-B942-6746-8217-6A700B6A9C39}" srcOrd="0" destOrd="0" presId="urn:microsoft.com/office/officeart/2005/8/layout/process4"/>
    <dgm:cxn modelId="{6340D44B-FC86-4720-8EF7-A80D6EDAD6D4}" type="presOf" srcId="{DA6F53C3-69DE-D843-8790-996392A4E03B}" destId="{ED6AC01F-A881-0945-9140-A6DEA3F82F29}" srcOrd="0" destOrd="0" presId="urn:microsoft.com/office/officeart/2005/8/layout/process4"/>
    <dgm:cxn modelId="{B240AD52-1C12-7C4D-A589-11839B9B72DF}" srcId="{DA6F53C3-69DE-D843-8790-996392A4E03B}" destId="{FF611E21-1132-4841-9577-AFD191D13EA4}" srcOrd="7" destOrd="0" parTransId="{63CFFB24-43B9-4C4D-AE85-764297ACC56E}" sibTransId="{A039CDE3-681F-0E46-82E1-A09E7E6BA3E6}"/>
    <dgm:cxn modelId="{D9A154E2-E53B-974E-B47F-0F331DE64458}" srcId="{DA6F53C3-69DE-D843-8790-996392A4E03B}" destId="{F828B37F-09BB-464A-8262-B7A2943D7678}" srcOrd="3" destOrd="0" parTransId="{E1F93495-7F01-EC4F-9515-494C33180ADD}" sibTransId="{3E3DA554-4C1D-5443-B79C-73F5DDD33A08}"/>
    <dgm:cxn modelId="{4EC902C1-6518-43AD-95A1-41B2238670FD}" type="presOf" srcId="{1C3F142A-17FA-8C40-B058-917AD8E597A7}" destId="{1825847D-1523-AA41-9BA7-E1BEB162EF0B}" srcOrd="0" destOrd="0" presId="urn:microsoft.com/office/officeart/2005/8/layout/process4"/>
    <dgm:cxn modelId="{FA6BC2D0-02E0-F441-9D96-7AD15026131E}" srcId="{DA6F53C3-69DE-D843-8790-996392A4E03B}" destId="{40792A02-5F80-8B4B-8F1D-5613B764D297}" srcOrd="1" destOrd="0" parTransId="{72B6BFE6-2D05-4B46-8F3A-AA91E67EC2D4}" sibTransId="{CE0EE301-5565-E74E-BFFF-F7BB5C3B7429}"/>
    <dgm:cxn modelId="{75D4CCDD-37F4-C34D-B3D6-170119A215D8}" srcId="{DA6F53C3-69DE-D843-8790-996392A4E03B}" destId="{3903731C-4B97-2744-A2D7-36F5183D0EAD}" srcOrd="6" destOrd="0" parTransId="{9B81DFB7-7944-544E-B041-5A2225B6A57B}" sibTransId="{1E172982-8B32-8F41-8F9C-B1701D3E44AD}"/>
    <dgm:cxn modelId="{D10914D4-6585-D74E-AD79-B69E5846268B}" srcId="{DA6F53C3-69DE-D843-8790-996392A4E03B}" destId="{30BBABF3-E7FC-2F49-A52C-4915500F2C20}" srcOrd="4" destOrd="0" parTransId="{BE8F2B3D-401E-5B4D-BC66-CA740B132A9F}" sibTransId="{39FDF78D-2E5E-B04E-997C-7CEB5E6B9AE5}"/>
    <dgm:cxn modelId="{7A6E6843-B593-4BA8-904B-00418CBD6575}" type="presOf" srcId="{FF611E21-1132-4841-9577-AFD191D13EA4}" destId="{3BF67978-8386-5B4E-9606-31AE34538141}" srcOrd="0" destOrd="0" presId="urn:microsoft.com/office/officeart/2005/8/layout/process4"/>
    <dgm:cxn modelId="{61AE4812-2DD5-8C42-AA9A-BEC720AE9DDA}" srcId="{DA6F53C3-69DE-D843-8790-996392A4E03B}" destId="{D2B462D0-3C51-1142-A322-6A43C02F6AD6}" srcOrd="5" destOrd="0" parTransId="{1D8D5C60-D65F-9549-9D17-6F7E0B7F9688}" sibTransId="{47C0077A-692D-B44A-90E2-814C90C01A45}"/>
    <dgm:cxn modelId="{CD74245C-7844-42CA-B49B-743DE09E8486}" type="presOf" srcId="{1BFD8151-55E0-B641-9989-917FA289A6FE}" destId="{34D6D81F-8B01-F749-A93F-5B250A38340A}" srcOrd="0" destOrd="0" presId="urn:microsoft.com/office/officeart/2005/8/layout/process4"/>
    <dgm:cxn modelId="{983085C1-B1B7-4668-ADA6-203F57A86C23}" type="presOf" srcId="{30BBABF3-E7FC-2F49-A52C-4915500F2C20}" destId="{5E1811F6-9C3A-7945-B40A-67E962B5394A}" srcOrd="0" destOrd="0" presId="urn:microsoft.com/office/officeart/2005/8/layout/process4"/>
    <dgm:cxn modelId="{9503DD7F-6BC7-4FA2-A48C-3371D89AE773}" type="presOf" srcId="{3903731C-4B97-2744-A2D7-36F5183D0EAD}" destId="{440A9105-A49F-A646-AAD0-98B3BD9FFB95}" srcOrd="0" destOrd="0" presId="urn:microsoft.com/office/officeart/2005/8/layout/process4"/>
    <dgm:cxn modelId="{1970D797-B7DD-4D9F-8CC3-B4574F984B18}" type="presOf" srcId="{40792A02-5F80-8B4B-8F1D-5613B764D297}" destId="{07ADD209-5B2C-F34D-A628-2250C11632E9}" srcOrd="0" destOrd="0" presId="urn:microsoft.com/office/officeart/2005/8/layout/process4"/>
    <dgm:cxn modelId="{D359C23F-58D6-BB44-BB79-056B537458F7}" srcId="{DA6F53C3-69DE-D843-8790-996392A4E03B}" destId="{BB9ADE22-D21D-7744-B7B0-D4CE72486AC2}" srcOrd="0" destOrd="0" parTransId="{9ACDA14C-4948-7C41-8E1E-0FA0F38BD6BD}" sibTransId="{8E952D1F-FDE9-1049-BB70-EDB60748222A}"/>
    <dgm:cxn modelId="{6453F311-AB05-6E4A-B0BA-906C23C333AC}" srcId="{DA6F53C3-69DE-D843-8790-996392A4E03B}" destId="{1C3F142A-17FA-8C40-B058-917AD8E597A7}" srcOrd="2" destOrd="0" parTransId="{F2ED0C65-8E5A-8B47-9D6F-80BE1E65EE80}" sibTransId="{F34843AD-3F2E-4340-9A71-26949E029EAF}"/>
    <dgm:cxn modelId="{F6B2C274-7388-4B99-8963-71BE0D947A5B}" type="presOf" srcId="{F828B37F-09BB-464A-8262-B7A2943D7678}" destId="{A657A105-7AEB-354F-89A3-C83C18140C99}" srcOrd="0" destOrd="0" presId="urn:microsoft.com/office/officeart/2005/8/layout/process4"/>
    <dgm:cxn modelId="{429F5E53-978D-6A45-A7D7-62E47E548AB9}" srcId="{DA6F53C3-69DE-D843-8790-996392A4E03B}" destId="{1BFD8151-55E0-B641-9989-917FA289A6FE}" srcOrd="9" destOrd="0" parTransId="{CF4C876F-625A-D341-A826-85499828AF4E}" sibTransId="{C97B038D-C743-A849-A020-FEA979C95DD1}"/>
    <dgm:cxn modelId="{D6DF4847-CF9F-4CE2-97B4-6F163D1A9F9F}" type="presOf" srcId="{2F9BE017-A240-234C-AE55-CA5DB5D5AE36}" destId="{3B0D7E75-91ED-5143-9A6B-6A1A926B53DC}" srcOrd="0" destOrd="0" presId="urn:microsoft.com/office/officeart/2005/8/layout/process4"/>
    <dgm:cxn modelId="{39C567B9-C72F-4DE4-9CEC-0B9527589896}" type="presOf" srcId="{D2B462D0-3C51-1142-A322-6A43C02F6AD6}" destId="{34438270-3B26-DD48-B240-70DEC9279114}" srcOrd="0" destOrd="0" presId="urn:microsoft.com/office/officeart/2005/8/layout/process4"/>
    <dgm:cxn modelId="{24B624D9-09AE-3A41-816D-AD5ABF3B88EF}" srcId="{DA6F53C3-69DE-D843-8790-996392A4E03B}" destId="{2F9BE017-A240-234C-AE55-CA5DB5D5AE36}" srcOrd="8" destOrd="0" parTransId="{82F83FD3-7B28-0C4A-AE17-2D14FAE9EB71}" sibTransId="{61CCD5FE-A3EE-954B-B0EF-DC810528EE77}"/>
    <dgm:cxn modelId="{F1CFC0A2-7310-48BE-8916-A85EB8FA9E51}" type="presParOf" srcId="{ED6AC01F-A881-0945-9140-A6DEA3F82F29}" destId="{95E3CC50-D619-AA43-ACD8-E6E34DFEAE01}" srcOrd="0" destOrd="0" presId="urn:microsoft.com/office/officeart/2005/8/layout/process4"/>
    <dgm:cxn modelId="{04FDFC72-6508-48E7-AEB1-01E1A4A0CD53}" type="presParOf" srcId="{95E3CC50-D619-AA43-ACD8-E6E34DFEAE01}" destId="{34D6D81F-8B01-F749-A93F-5B250A38340A}" srcOrd="0" destOrd="0" presId="urn:microsoft.com/office/officeart/2005/8/layout/process4"/>
    <dgm:cxn modelId="{607FCC83-5D83-443A-ABA8-6CC8E5B0BE0D}" type="presParOf" srcId="{ED6AC01F-A881-0945-9140-A6DEA3F82F29}" destId="{8B2AA050-40D3-F64B-9FB5-EF593450A6AD}" srcOrd="1" destOrd="0" presId="urn:microsoft.com/office/officeart/2005/8/layout/process4"/>
    <dgm:cxn modelId="{66999ACE-E55E-4C7E-92DE-DC75CADEE382}" type="presParOf" srcId="{ED6AC01F-A881-0945-9140-A6DEA3F82F29}" destId="{F16A4E14-6E07-3448-A322-D690B67212DB}" srcOrd="2" destOrd="0" presId="urn:microsoft.com/office/officeart/2005/8/layout/process4"/>
    <dgm:cxn modelId="{3570A9CC-6C4A-4D15-A3CE-9B341CD352B1}" type="presParOf" srcId="{F16A4E14-6E07-3448-A322-D690B67212DB}" destId="{3B0D7E75-91ED-5143-9A6B-6A1A926B53DC}" srcOrd="0" destOrd="0" presId="urn:microsoft.com/office/officeart/2005/8/layout/process4"/>
    <dgm:cxn modelId="{70FB345A-8B2F-4492-8F6A-7F3DBF5AB116}" type="presParOf" srcId="{ED6AC01F-A881-0945-9140-A6DEA3F82F29}" destId="{B60C6FFD-2885-264E-A8F6-66333C40485B}" srcOrd="3" destOrd="0" presId="urn:microsoft.com/office/officeart/2005/8/layout/process4"/>
    <dgm:cxn modelId="{A0B15B1C-3E26-4235-8515-EF52DF2940D7}" type="presParOf" srcId="{ED6AC01F-A881-0945-9140-A6DEA3F82F29}" destId="{67F84403-7665-8045-AC65-A6D29A266C8A}" srcOrd="4" destOrd="0" presId="urn:microsoft.com/office/officeart/2005/8/layout/process4"/>
    <dgm:cxn modelId="{9A27BB68-8F1B-4C94-85AC-5CD3FE93609F}" type="presParOf" srcId="{67F84403-7665-8045-AC65-A6D29A266C8A}" destId="{3BF67978-8386-5B4E-9606-31AE34538141}" srcOrd="0" destOrd="0" presId="urn:microsoft.com/office/officeart/2005/8/layout/process4"/>
    <dgm:cxn modelId="{CE23D782-58E2-46C1-8871-205EB933455B}" type="presParOf" srcId="{ED6AC01F-A881-0945-9140-A6DEA3F82F29}" destId="{61F0FA5D-004B-C64F-B7FA-650961D993AE}" srcOrd="5" destOrd="0" presId="urn:microsoft.com/office/officeart/2005/8/layout/process4"/>
    <dgm:cxn modelId="{331DDFF7-C0BF-4986-91B1-E285097076BF}" type="presParOf" srcId="{ED6AC01F-A881-0945-9140-A6DEA3F82F29}" destId="{A4DB8FF1-E059-5F4B-B20E-EBB54C117912}" srcOrd="6" destOrd="0" presId="urn:microsoft.com/office/officeart/2005/8/layout/process4"/>
    <dgm:cxn modelId="{E67FEA99-8760-49AE-94CA-0E5657B96C0D}" type="presParOf" srcId="{A4DB8FF1-E059-5F4B-B20E-EBB54C117912}" destId="{440A9105-A49F-A646-AAD0-98B3BD9FFB95}" srcOrd="0" destOrd="0" presId="urn:microsoft.com/office/officeart/2005/8/layout/process4"/>
    <dgm:cxn modelId="{9350C53D-BC0C-4C13-B73B-DEA51A69C6E3}" type="presParOf" srcId="{ED6AC01F-A881-0945-9140-A6DEA3F82F29}" destId="{8C69646A-09F7-F041-9F50-417AD60217F9}" srcOrd="7" destOrd="0" presId="urn:microsoft.com/office/officeart/2005/8/layout/process4"/>
    <dgm:cxn modelId="{B45A7AC9-1F13-4537-A59A-AE6545060464}" type="presParOf" srcId="{ED6AC01F-A881-0945-9140-A6DEA3F82F29}" destId="{7D611E5D-3196-0B4F-A2E5-E2FD83EBD7B8}" srcOrd="8" destOrd="0" presId="urn:microsoft.com/office/officeart/2005/8/layout/process4"/>
    <dgm:cxn modelId="{540AB05A-6AB0-42C5-A17D-A64168250708}" type="presParOf" srcId="{7D611E5D-3196-0B4F-A2E5-E2FD83EBD7B8}" destId="{34438270-3B26-DD48-B240-70DEC9279114}" srcOrd="0" destOrd="0" presId="urn:microsoft.com/office/officeart/2005/8/layout/process4"/>
    <dgm:cxn modelId="{06E9EFEF-C8F9-4188-B325-D06B70571F69}" type="presParOf" srcId="{ED6AC01F-A881-0945-9140-A6DEA3F82F29}" destId="{D73201E9-330B-D645-9455-A43DBD4F11A1}" srcOrd="9" destOrd="0" presId="urn:microsoft.com/office/officeart/2005/8/layout/process4"/>
    <dgm:cxn modelId="{0D1E9230-948F-4187-B37E-2CFE77ED54A9}" type="presParOf" srcId="{ED6AC01F-A881-0945-9140-A6DEA3F82F29}" destId="{C724EB49-E92A-2545-AFC6-0D970CA4459F}" srcOrd="10" destOrd="0" presId="urn:microsoft.com/office/officeart/2005/8/layout/process4"/>
    <dgm:cxn modelId="{E9B517BE-A949-4B12-BCE4-30A039C0F148}" type="presParOf" srcId="{C724EB49-E92A-2545-AFC6-0D970CA4459F}" destId="{5E1811F6-9C3A-7945-B40A-67E962B5394A}" srcOrd="0" destOrd="0" presId="urn:microsoft.com/office/officeart/2005/8/layout/process4"/>
    <dgm:cxn modelId="{FC698C09-B6CB-4369-BD04-39A9891EE639}" type="presParOf" srcId="{ED6AC01F-A881-0945-9140-A6DEA3F82F29}" destId="{FE05566D-48A1-FB40-B47B-DABCD5EECD8A}" srcOrd="11" destOrd="0" presId="urn:microsoft.com/office/officeart/2005/8/layout/process4"/>
    <dgm:cxn modelId="{38C96BE9-3590-4A23-8D7F-EDBA2545D78B}" type="presParOf" srcId="{ED6AC01F-A881-0945-9140-A6DEA3F82F29}" destId="{4F567E7B-25EF-D84B-9F1F-EC644DE3548F}" srcOrd="12" destOrd="0" presId="urn:microsoft.com/office/officeart/2005/8/layout/process4"/>
    <dgm:cxn modelId="{8622CED6-7C2A-45D1-8FFE-585234082DBA}" type="presParOf" srcId="{4F567E7B-25EF-D84B-9F1F-EC644DE3548F}" destId="{A657A105-7AEB-354F-89A3-C83C18140C99}" srcOrd="0" destOrd="0" presId="urn:microsoft.com/office/officeart/2005/8/layout/process4"/>
    <dgm:cxn modelId="{635DB922-0915-4D8E-9231-A84A1845F79A}" type="presParOf" srcId="{ED6AC01F-A881-0945-9140-A6DEA3F82F29}" destId="{E614D993-3AA2-9A42-917C-21F75EA78951}" srcOrd="13" destOrd="0" presId="urn:microsoft.com/office/officeart/2005/8/layout/process4"/>
    <dgm:cxn modelId="{7B8A563C-59BF-4A7A-AE81-7F73F48BB84D}" type="presParOf" srcId="{ED6AC01F-A881-0945-9140-A6DEA3F82F29}" destId="{9245E54E-BA4F-BD45-AE42-0C9C7394330B}" srcOrd="14" destOrd="0" presId="urn:microsoft.com/office/officeart/2005/8/layout/process4"/>
    <dgm:cxn modelId="{415F78A7-AAA8-4730-BF92-F63CA258B679}" type="presParOf" srcId="{9245E54E-BA4F-BD45-AE42-0C9C7394330B}" destId="{1825847D-1523-AA41-9BA7-E1BEB162EF0B}" srcOrd="0" destOrd="0" presId="urn:microsoft.com/office/officeart/2005/8/layout/process4"/>
    <dgm:cxn modelId="{A01DFDE3-F004-4E3F-89EA-2E4005EE70A6}" type="presParOf" srcId="{ED6AC01F-A881-0945-9140-A6DEA3F82F29}" destId="{D0CE2F86-403B-864D-84DF-4F5EE6C2D386}" srcOrd="15" destOrd="0" presId="urn:microsoft.com/office/officeart/2005/8/layout/process4"/>
    <dgm:cxn modelId="{6F4D64A2-E2CB-4192-9BAF-1AB67911392D}" type="presParOf" srcId="{ED6AC01F-A881-0945-9140-A6DEA3F82F29}" destId="{E47E7E5E-0D45-594D-A9BC-F6A8F97D89E9}" srcOrd="16" destOrd="0" presId="urn:microsoft.com/office/officeart/2005/8/layout/process4"/>
    <dgm:cxn modelId="{1F750AF3-B833-439F-9422-B0ECAB44D3B1}" type="presParOf" srcId="{E47E7E5E-0D45-594D-A9BC-F6A8F97D89E9}" destId="{07ADD209-5B2C-F34D-A628-2250C11632E9}" srcOrd="0" destOrd="0" presId="urn:microsoft.com/office/officeart/2005/8/layout/process4"/>
    <dgm:cxn modelId="{999EBAF4-CE17-4395-874C-2F680B4EDE6C}" type="presParOf" srcId="{ED6AC01F-A881-0945-9140-A6DEA3F82F29}" destId="{3058AC5D-1B7F-CF48-9BBD-16F3F6F764B1}" srcOrd="17" destOrd="0" presId="urn:microsoft.com/office/officeart/2005/8/layout/process4"/>
    <dgm:cxn modelId="{F9E70404-9F17-4AE9-BFAB-82E972CC9402}" type="presParOf" srcId="{ED6AC01F-A881-0945-9140-A6DEA3F82F29}" destId="{DFF863CA-3866-D04C-993E-16741859CE79}" srcOrd="18" destOrd="0" presId="urn:microsoft.com/office/officeart/2005/8/layout/process4"/>
    <dgm:cxn modelId="{AA55DBDB-DAFF-4339-B369-D01E5BD44614}" type="presParOf" srcId="{DFF863CA-3866-D04C-993E-16741859CE79}" destId="{4F123804-B942-6746-8217-6A700B6A9C39}"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D6D81F-8B01-F749-A93F-5B250A38340A}">
      <dsp:nvSpPr>
        <dsp:cNvPr id="0" name=""/>
        <dsp:cNvSpPr/>
      </dsp:nvSpPr>
      <dsp:spPr>
        <a:xfrm>
          <a:off x="0" y="2983939"/>
          <a:ext cx="5483860" cy="217691"/>
        </a:xfrm>
        <a:prstGeom prst="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Risk Treatment</a:t>
          </a:r>
        </a:p>
      </dsp:txBody>
      <dsp:txXfrm>
        <a:off x="0" y="2983939"/>
        <a:ext cx="5483860" cy="217691"/>
      </dsp:txXfrm>
    </dsp:sp>
    <dsp:sp modelId="{3B0D7E75-91ED-5143-9A6B-6A1A926B53DC}">
      <dsp:nvSpPr>
        <dsp:cNvPr id="0" name=""/>
        <dsp:cNvSpPr/>
      </dsp:nvSpPr>
      <dsp:spPr>
        <a:xfrm rot="10800000">
          <a:off x="0" y="2652394"/>
          <a:ext cx="5483860" cy="334809"/>
        </a:xfrm>
        <a:prstGeom prst="upArrowCallou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Results Documentation</a:t>
          </a:r>
        </a:p>
      </dsp:txBody>
      <dsp:txXfrm rot="10800000">
        <a:off x="0" y="2652394"/>
        <a:ext cx="5483860" cy="217549"/>
      </dsp:txXfrm>
    </dsp:sp>
    <dsp:sp modelId="{3BF67978-8386-5B4E-9606-31AE34538141}">
      <dsp:nvSpPr>
        <dsp:cNvPr id="0" name=""/>
        <dsp:cNvSpPr/>
      </dsp:nvSpPr>
      <dsp:spPr>
        <a:xfrm rot="10800000">
          <a:off x="0" y="2320850"/>
          <a:ext cx="5483860" cy="334809"/>
        </a:xfrm>
        <a:prstGeom prst="upArrowCallou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Control Recommendations</a:t>
          </a:r>
        </a:p>
      </dsp:txBody>
      <dsp:txXfrm rot="10800000">
        <a:off x="0" y="2320850"/>
        <a:ext cx="5483860" cy="217549"/>
      </dsp:txXfrm>
    </dsp:sp>
    <dsp:sp modelId="{440A9105-A49F-A646-AAD0-98B3BD9FFB95}">
      <dsp:nvSpPr>
        <dsp:cNvPr id="0" name=""/>
        <dsp:cNvSpPr/>
      </dsp:nvSpPr>
      <dsp:spPr>
        <a:xfrm rot="10800000">
          <a:off x="0" y="1989305"/>
          <a:ext cx="5483860" cy="334809"/>
        </a:xfrm>
        <a:prstGeom prst="upArrowCallou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Risk Determination</a:t>
          </a:r>
        </a:p>
      </dsp:txBody>
      <dsp:txXfrm rot="10800000">
        <a:off x="0" y="1989305"/>
        <a:ext cx="5483860" cy="217549"/>
      </dsp:txXfrm>
    </dsp:sp>
    <dsp:sp modelId="{34438270-3B26-DD48-B240-70DEC9279114}">
      <dsp:nvSpPr>
        <dsp:cNvPr id="0" name=""/>
        <dsp:cNvSpPr/>
      </dsp:nvSpPr>
      <dsp:spPr>
        <a:xfrm rot="10800000">
          <a:off x="0" y="1657761"/>
          <a:ext cx="5483860" cy="334809"/>
        </a:xfrm>
        <a:prstGeom prst="upArrowCallou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Impact Analysis</a:t>
          </a:r>
        </a:p>
      </dsp:txBody>
      <dsp:txXfrm rot="10800000">
        <a:off x="0" y="1657761"/>
        <a:ext cx="5483860" cy="217549"/>
      </dsp:txXfrm>
    </dsp:sp>
    <dsp:sp modelId="{5E1811F6-9C3A-7945-B40A-67E962B5394A}">
      <dsp:nvSpPr>
        <dsp:cNvPr id="0" name=""/>
        <dsp:cNvSpPr/>
      </dsp:nvSpPr>
      <dsp:spPr>
        <a:xfrm rot="10800000">
          <a:off x="0" y="1326216"/>
          <a:ext cx="5483860" cy="334809"/>
        </a:xfrm>
        <a:prstGeom prst="upArrowCallou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Likelihood Determination</a:t>
          </a:r>
        </a:p>
      </dsp:txBody>
      <dsp:txXfrm rot="10800000">
        <a:off x="0" y="1326216"/>
        <a:ext cx="5483860" cy="217549"/>
      </dsp:txXfrm>
    </dsp:sp>
    <dsp:sp modelId="{A657A105-7AEB-354F-89A3-C83C18140C99}">
      <dsp:nvSpPr>
        <dsp:cNvPr id="0" name=""/>
        <dsp:cNvSpPr/>
      </dsp:nvSpPr>
      <dsp:spPr>
        <a:xfrm rot="10800000">
          <a:off x="0" y="994672"/>
          <a:ext cx="5483860" cy="334809"/>
        </a:xfrm>
        <a:prstGeom prst="upArrowCallou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Control Analysis</a:t>
          </a:r>
        </a:p>
      </dsp:txBody>
      <dsp:txXfrm rot="10800000">
        <a:off x="0" y="994672"/>
        <a:ext cx="5483860" cy="217549"/>
      </dsp:txXfrm>
    </dsp:sp>
    <dsp:sp modelId="{1825847D-1523-AA41-9BA7-E1BEB162EF0B}">
      <dsp:nvSpPr>
        <dsp:cNvPr id="0" name=""/>
        <dsp:cNvSpPr/>
      </dsp:nvSpPr>
      <dsp:spPr>
        <a:xfrm rot="10800000">
          <a:off x="0" y="663128"/>
          <a:ext cx="5483860" cy="334809"/>
        </a:xfrm>
        <a:prstGeom prst="upArrowCallou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Vulnerability Identification</a:t>
          </a:r>
        </a:p>
      </dsp:txBody>
      <dsp:txXfrm rot="10800000">
        <a:off x="0" y="663128"/>
        <a:ext cx="5483860" cy="217549"/>
      </dsp:txXfrm>
    </dsp:sp>
    <dsp:sp modelId="{07ADD209-5B2C-F34D-A628-2250C11632E9}">
      <dsp:nvSpPr>
        <dsp:cNvPr id="0" name=""/>
        <dsp:cNvSpPr/>
      </dsp:nvSpPr>
      <dsp:spPr>
        <a:xfrm rot="10800000">
          <a:off x="0" y="331583"/>
          <a:ext cx="5483860" cy="334809"/>
        </a:xfrm>
        <a:prstGeom prst="upArrowCallou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Threat Identification</a:t>
          </a:r>
        </a:p>
      </dsp:txBody>
      <dsp:txXfrm rot="10800000">
        <a:off x="0" y="331583"/>
        <a:ext cx="5483860" cy="217549"/>
      </dsp:txXfrm>
    </dsp:sp>
    <dsp:sp modelId="{4F123804-B942-6746-8217-6A700B6A9C39}">
      <dsp:nvSpPr>
        <dsp:cNvPr id="0" name=""/>
        <dsp:cNvSpPr/>
      </dsp:nvSpPr>
      <dsp:spPr>
        <a:xfrm rot="10800000">
          <a:off x="0" y="16331"/>
          <a:ext cx="5483860" cy="334809"/>
        </a:xfrm>
        <a:prstGeom prst="upArrowCallou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latin typeface="Calibri"/>
              <a:cs typeface="Calibri"/>
            </a:rPr>
            <a:t>System Characterization</a:t>
          </a:r>
        </a:p>
      </dsp:txBody>
      <dsp:txXfrm rot="10800000">
        <a:off x="0" y="16331"/>
        <a:ext cx="5483860" cy="21754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C893-AB9A-4E82-8648-16B1553E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5</cp:revision>
  <dcterms:created xsi:type="dcterms:W3CDTF">2017-03-02T01:05:00Z</dcterms:created>
  <dcterms:modified xsi:type="dcterms:W3CDTF">2017-03-08T18:50:00Z</dcterms:modified>
</cp:coreProperties>
</file>